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v6.1.2</w:t>
      </w:r>
    </w:p>
    <w:p>
      <w:pPr>
        <w:spacing w:after="60"/>
      </w:pPr>
      <w:r>
        <w:rPr>
          <w:sz w:val="22"/>
        </w:rPr>
        <w:t xml:space="preserve">Teste da versão 6.1.2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v6.1.2?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v6.1.2 (app) · guia: teste-60f.pages.dev/GUIA_DE_TESTE_NF.html</w:t>
      </w:r>
    </w:p>
    <w:sectPr>
      <w:pgSz w:w="11906" w:h="16838"/>
      <w:pgMar w:top="1134" w:right="850" w:bottom="1134" w:left="850"/>
    </w:sectPr>
    <w:p>
      <w:r>
        <w:t xml:space="preserve">v6.1.2 — Navegação Fiscal firme na barra reconstruída (pintarMenus apagava o markup estático: a v6.1.1 não achava o #menu-nfe → "não muda nada"); modo escuro (.digi-escuro) cobre todos os claros fixos das telas fiscais/faixa/submenu; E2E headless jsdom: 23/23 (aba Fiscal na barra, pin no clique, item navega, faixa fora, shell+menu escuros, claro intacto). Suite 183/0/0.</w:t>
      </w:r>
    </w:p>
  </w:body>
</w:document>
</file>