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16 de setembro de 1961, na cidade de Jaraguá do Sul/SC, as habilidades de um eletricista, de um administrador e de um mecânico foram unificadas e resultaram na fundação da Eletromotores Jaraguá. Nascida da coragem de empreendedores visionários, após um tempo a empresa passou a se chamar WEG, em alusão às iniciais dos fundadores. Nome que, hoje, é reconhecido com uma das maiores fabricantes de equipamentos elétricos do mundo.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Produzindo inicialmente motores elétricos, a WEG ampliou suas atividades a partir da década de 80, com a produção de componentes eletroeletrônicos, produtos para automação industrial, transformadores de força e distribuição, tintas líquidas e em pó e vernizes eletroisolantes. A empresa se consolidou não só como fabricante de motores, mas como fornecedora de sistemas elétricos industriais completos.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trajetória da organização, idealizada por Werner, Eggon e Geraldo, é marcada pelo êxito. O conjunto de valores, crenças e ideais sustentados pelos fundadores estão enraizados na organização e ditam os caminhos vitoriosos pelos quais a empresa trilha sua história. A essência destemida, dinâmica e grandiosa é a fonte que mantém a WEG funcionando em direção ao sucesso.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tempo estimado para a conclusão do projeto é de aproximadamente 4 anos.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