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CFA5B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16517">
        <w:rPr>
          <w:rFonts w:ascii="Arial" w:hAnsi="Arial" w:cs="Arial"/>
          <w:b/>
          <w:bCs/>
          <w:sz w:val="28"/>
          <w:szCs w:val="28"/>
        </w:rPr>
        <w:t>SÃO JUDAS TADEU</w:t>
      </w:r>
    </w:p>
    <w:p w14:paraId="1D0D1CD9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B18759E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464FE80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16517">
        <w:rPr>
          <w:rFonts w:ascii="Arial" w:hAnsi="Arial" w:cs="Arial"/>
          <w:b/>
          <w:bCs/>
          <w:sz w:val="28"/>
          <w:szCs w:val="28"/>
        </w:rPr>
        <w:t>Inovação, Sustentabilidade e Competitividade Empresarial</w:t>
      </w:r>
    </w:p>
    <w:p w14:paraId="01842EA6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6FE47FB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41C526F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D9340FE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16517">
        <w:rPr>
          <w:rFonts w:ascii="Arial" w:hAnsi="Arial" w:cs="Arial"/>
          <w:b/>
          <w:bCs/>
          <w:sz w:val="24"/>
          <w:szCs w:val="24"/>
        </w:rPr>
        <w:t>Kauê Soares dos Santos - 824117267</w:t>
      </w:r>
    </w:p>
    <w:p w14:paraId="453133DA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B9F1B79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1EDAC4C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16517">
        <w:rPr>
          <w:rFonts w:ascii="Arial" w:hAnsi="Arial" w:cs="Arial"/>
          <w:b/>
          <w:bCs/>
          <w:sz w:val="24"/>
          <w:szCs w:val="24"/>
        </w:rPr>
        <w:t>Prof. Robson Calvetti</w:t>
      </w:r>
    </w:p>
    <w:p w14:paraId="45F7DA6B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083099F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E14EEEE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41EF5F5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2CE7526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570EEAC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8811B59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C02EE2A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7778A04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FF67D3E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E2F796E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E525CDB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8C12CFA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5E7508E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60A3A57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16D04E2" w14:textId="77777777" w:rsidR="0087138C" w:rsidRPr="00216517" w:rsidRDefault="0087138C" w:rsidP="008713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E610D85" w14:textId="77777777" w:rsidR="0087138C" w:rsidRDefault="0087138C" w:rsidP="0087138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16517">
        <w:rPr>
          <w:rFonts w:ascii="Arial" w:hAnsi="Arial" w:cs="Arial"/>
          <w:b/>
          <w:bCs/>
          <w:sz w:val="28"/>
          <w:szCs w:val="28"/>
        </w:rPr>
        <w:t>SÃO PAULO</w:t>
      </w:r>
    </w:p>
    <w:p w14:paraId="7C5082BA" w14:textId="77777777" w:rsidR="0087138C" w:rsidRDefault="0087138C" w:rsidP="0087138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16517">
        <w:rPr>
          <w:rFonts w:ascii="Arial" w:hAnsi="Arial" w:cs="Arial"/>
          <w:b/>
          <w:bCs/>
          <w:sz w:val="28"/>
          <w:szCs w:val="28"/>
        </w:rPr>
        <w:t>2026</w:t>
      </w:r>
    </w:p>
    <w:p w14:paraId="7EEAB24E" w14:textId="7EA71939" w:rsidR="00B171FF" w:rsidRDefault="00AF7425" w:rsidP="00AF742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F7425">
        <w:rPr>
          <w:rFonts w:ascii="Arial" w:hAnsi="Arial" w:cs="Arial"/>
          <w:b/>
          <w:bCs/>
          <w:sz w:val="28"/>
          <w:szCs w:val="28"/>
        </w:rPr>
        <w:lastRenderedPageBreak/>
        <w:t xml:space="preserve">O que é ESG – Environmental, Social </w:t>
      </w:r>
      <w:r>
        <w:rPr>
          <w:rFonts w:ascii="Arial" w:hAnsi="Arial" w:cs="Arial"/>
          <w:b/>
          <w:bCs/>
          <w:sz w:val="28"/>
          <w:szCs w:val="28"/>
        </w:rPr>
        <w:t xml:space="preserve">e </w:t>
      </w:r>
      <w:r w:rsidRPr="00AF7425">
        <w:rPr>
          <w:rFonts w:ascii="Arial" w:hAnsi="Arial" w:cs="Arial"/>
          <w:b/>
          <w:bCs/>
          <w:sz w:val="28"/>
          <w:szCs w:val="28"/>
        </w:rPr>
        <w:t>Governance, seu significado, seu papel, sua história e sua importância?</w:t>
      </w:r>
    </w:p>
    <w:p w14:paraId="5B14B01E" w14:textId="77777777" w:rsidR="00AF7425" w:rsidRDefault="00AF7425" w:rsidP="00AF742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8B73982" w14:textId="708B0B49" w:rsidR="00AF7425" w:rsidRDefault="00AF7425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</w:t>
      </w:r>
      <w:r w:rsidRPr="00AF7425">
        <w:rPr>
          <w:rFonts w:ascii="Arial" w:hAnsi="Arial" w:cs="Arial"/>
          <w:sz w:val="24"/>
          <w:szCs w:val="24"/>
        </w:rPr>
        <w:t> um conjunto de padrões e boas práticas que definem se uma empresa é socialmente consciente, sustentável e corretamente gerida. Mais do que uma simples política de sustentabilidade, o ESG funciona como um critério de avaliação utilizado por investidores e pelo mercado para medir o impacto não financeiro e a longevidade de um negócio.</w:t>
      </w:r>
    </w:p>
    <w:p w14:paraId="02E1E7F1" w14:textId="77777777" w:rsidR="00AF7425" w:rsidRDefault="00AF7425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0AB3F7" w14:textId="1825F2D7" w:rsidR="00AF7425" w:rsidRDefault="00AF7425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F7425">
        <w:rPr>
          <w:rFonts w:ascii="Arial" w:hAnsi="Arial" w:cs="Arial"/>
          <w:sz w:val="24"/>
          <w:szCs w:val="24"/>
        </w:rPr>
        <w:t>A agenda ESG é transversal, ela passa por todos os departamentos da empresa. Ou seja, precisa fazer parte da cultura da organização — o que significa praticar sem um esforço sobrenatural, mas porque faz parte do modus operandi</w:t>
      </w:r>
      <w:r w:rsidRPr="00AF7425">
        <w:rPr>
          <w:rFonts w:ascii="Arial" w:hAnsi="Arial" w:cs="Arial"/>
          <w:i/>
          <w:iCs/>
          <w:sz w:val="24"/>
          <w:szCs w:val="24"/>
        </w:rPr>
        <w:t> </w:t>
      </w:r>
      <w:r w:rsidRPr="00AF7425">
        <w:rPr>
          <w:rFonts w:ascii="Arial" w:hAnsi="Arial" w:cs="Arial"/>
          <w:sz w:val="24"/>
          <w:szCs w:val="24"/>
        </w:rPr>
        <w:t>do trabalho.</w:t>
      </w:r>
    </w:p>
    <w:p w14:paraId="7284E864" w14:textId="77777777" w:rsidR="00111097" w:rsidRDefault="00111097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4A3239" w14:textId="69CA65D4" w:rsidR="00111097" w:rsidRDefault="00111097" w:rsidP="00AF742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11097">
        <w:rPr>
          <w:rFonts w:ascii="Arial" w:hAnsi="Arial" w:cs="Arial"/>
          <w:b/>
          <w:bCs/>
          <w:sz w:val="24"/>
          <w:szCs w:val="24"/>
        </w:rPr>
        <w:t>A sigla ESG significa:</w:t>
      </w:r>
    </w:p>
    <w:p w14:paraId="6B0A1462" w14:textId="77777777" w:rsidR="00111097" w:rsidRPr="00111097" w:rsidRDefault="00111097" w:rsidP="00AF742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7F9A775" w14:textId="77777777" w:rsidR="00111097" w:rsidRPr="00111097" w:rsidRDefault="00111097" w:rsidP="0011109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1097">
        <w:rPr>
          <w:rFonts w:ascii="Arial" w:hAnsi="Arial" w:cs="Arial"/>
          <w:b/>
          <w:bCs/>
          <w:sz w:val="24"/>
          <w:szCs w:val="24"/>
        </w:rPr>
        <w:t>Environmental (Ambiental - E):</w:t>
      </w:r>
      <w:r w:rsidRPr="00111097">
        <w:rPr>
          <w:rFonts w:ascii="Arial" w:hAnsi="Arial" w:cs="Arial"/>
          <w:sz w:val="24"/>
          <w:szCs w:val="24"/>
        </w:rPr>
        <w:t> Refere-se à atuação da empresa no meio ambiente. Inclui políticas de redução de emissões de carbono, gestão de resíduos, eficiência energética, uso de recursos naturais e combate ao desmatamento.</w:t>
      </w:r>
    </w:p>
    <w:p w14:paraId="5F99FC42" w14:textId="77777777" w:rsidR="00111097" w:rsidRPr="00111097" w:rsidRDefault="00111097" w:rsidP="0011109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1097">
        <w:rPr>
          <w:rFonts w:ascii="Arial" w:hAnsi="Arial" w:cs="Arial"/>
          <w:b/>
          <w:bCs/>
          <w:sz w:val="24"/>
          <w:szCs w:val="24"/>
        </w:rPr>
        <w:t>Social (Social - S):</w:t>
      </w:r>
      <w:r w:rsidRPr="00111097">
        <w:rPr>
          <w:rFonts w:ascii="Arial" w:hAnsi="Arial" w:cs="Arial"/>
          <w:sz w:val="24"/>
          <w:szCs w:val="24"/>
        </w:rPr>
        <w:t> Foca no relacionamento da empresa com as pessoas. Envolve diversidade na equipe, respeito aos direitos humanos e leis trabalhistas, satisfação dos clientes, proteção de dados e engajamento com a comunidade local.</w:t>
      </w:r>
    </w:p>
    <w:p w14:paraId="316F5821" w14:textId="77777777" w:rsidR="00111097" w:rsidRPr="00111097" w:rsidRDefault="00111097" w:rsidP="0011109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1097">
        <w:rPr>
          <w:rFonts w:ascii="Arial" w:hAnsi="Arial" w:cs="Arial"/>
          <w:b/>
          <w:bCs/>
          <w:sz w:val="24"/>
          <w:szCs w:val="24"/>
        </w:rPr>
        <w:t>Governance (Governança - G):</w:t>
      </w:r>
      <w:r w:rsidRPr="00111097">
        <w:rPr>
          <w:rFonts w:ascii="Arial" w:hAnsi="Arial" w:cs="Arial"/>
          <w:sz w:val="24"/>
          <w:szCs w:val="24"/>
        </w:rPr>
        <w:t> Diz respeito à administração da empresa, sua transparência e ética. Inclui a estrutura do conselho de administração, políticas anticorrupção, remuneração dos executivos e transparência contábil.</w:t>
      </w:r>
    </w:p>
    <w:p w14:paraId="2D3B0BA8" w14:textId="77777777" w:rsidR="00111097" w:rsidRDefault="00111097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F8F4BD" w14:textId="77777777" w:rsidR="00111097" w:rsidRDefault="00111097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225527" w14:textId="77777777" w:rsidR="00AF7425" w:rsidRDefault="00AF7425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9C8D31B" w14:textId="237811A4" w:rsidR="00AF7425" w:rsidRPr="00111097" w:rsidRDefault="00111097" w:rsidP="00AF742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11097">
        <w:rPr>
          <w:rFonts w:ascii="Arial" w:hAnsi="Arial" w:cs="Arial"/>
          <w:b/>
          <w:bCs/>
          <w:sz w:val="24"/>
          <w:szCs w:val="24"/>
        </w:rPr>
        <w:t>Referências:</w:t>
      </w:r>
    </w:p>
    <w:p w14:paraId="23E37526" w14:textId="15642601" w:rsidR="00AF7425" w:rsidRDefault="00224618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hyperlink r:id="rId6" w:history="1">
        <w:r w:rsidR="00AF7425" w:rsidRPr="00AF7425">
          <w:rPr>
            <w:rStyle w:val="Hyperlink"/>
            <w:rFonts w:ascii="Arial" w:hAnsi="Arial" w:cs="Arial"/>
            <w:sz w:val="24"/>
            <w:szCs w:val="24"/>
          </w:rPr>
          <w:t>Agenda ESG: a importância de fugir do modismo</w:t>
        </w:r>
      </w:hyperlink>
    </w:p>
    <w:p w14:paraId="36EB9A93" w14:textId="46E9FFB6" w:rsidR="00111097" w:rsidRDefault="00224618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hyperlink r:id="rId7" w:history="1">
        <w:r w:rsidR="00111097" w:rsidRPr="00111097">
          <w:rPr>
            <w:rStyle w:val="Hyperlink"/>
            <w:rFonts w:ascii="Arial" w:hAnsi="Arial" w:cs="Arial"/>
            <w:sz w:val="24"/>
            <w:szCs w:val="24"/>
          </w:rPr>
          <w:t>Materialidade e ESG: importância para as práticas</w:t>
        </w:r>
      </w:hyperlink>
    </w:p>
    <w:p w14:paraId="5BB0F3B8" w14:textId="67355036" w:rsidR="00111097" w:rsidRDefault="00224618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hyperlink r:id="rId8" w:anchor=":~:text=Pilar%20de%20Governan%C3%A7a,Remunera%C3%A7%C3%A3o%20dos%20acionistas" w:history="1">
        <w:r w:rsidR="00111097" w:rsidRPr="001B1E2B">
          <w:rPr>
            <w:rStyle w:val="Hyperlink"/>
            <w:rFonts w:ascii="Arial" w:hAnsi="Arial" w:cs="Arial"/>
            <w:sz w:val="24"/>
            <w:szCs w:val="24"/>
          </w:rPr>
          <w:t>https://www.totvs.com/blog/negocios/esg/#:~:text=Pilar%20de%20Governan%C3%A7a,Remunera%C3%A7%C3%A3o%20dos%20acionistas</w:t>
        </w:r>
      </w:hyperlink>
      <w:r w:rsidR="00111097" w:rsidRPr="00111097">
        <w:rPr>
          <w:rFonts w:ascii="Arial" w:hAnsi="Arial" w:cs="Arial"/>
          <w:sz w:val="24"/>
          <w:szCs w:val="24"/>
        </w:rPr>
        <w:t>.</w:t>
      </w:r>
    </w:p>
    <w:p w14:paraId="1B0D86BB" w14:textId="77777777" w:rsidR="00111097" w:rsidRDefault="00111097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656B29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990B09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F4383E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D6803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A98E4E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A49BBB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7F1FF3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0D744A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D76417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FA89B4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B1C406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C7B602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60A6E2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837E16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067304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F61895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4FAD6C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8175D5" w14:textId="77777777" w:rsidR="007C79CD" w:rsidRDefault="007C79CD" w:rsidP="00AF74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213516" w14:textId="4922B391" w:rsidR="007C79CD" w:rsidRDefault="007C79CD" w:rsidP="007C79C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C79CD">
        <w:rPr>
          <w:rFonts w:ascii="Arial" w:hAnsi="Arial" w:cs="Arial"/>
          <w:b/>
          <w:bCs/>
          <w:sz w:val="28"/>
          <w:szCs w:val="28"/>
        </w:rPr>
        <w:lastRenderedPageBreak/>
        <w:t>Apresentar uma Matriz de Materialidade de uma empresa líder de mercado em qualquer segmento</w:t>
      </w:r>
    </w:p>
    <w:p w14:paraId="2DFD006C" w14:textId="77777777" w:rsidR="007C79CD" w:rsidRDefault="007C79CD" w:rsidP="007C79C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72CBFDF" w14:textId="169D5890" w:rsidR="007C79CD" w:rsidRDefault="007C79CD" w:rsidP="007C79C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Amazon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4112"/>
        <w:gridCol w:w="1984"/>
        <w:gridCol w:w="1985"/>
        <w:gridCol w:w="2126"/>
      </w:tblGrid>
      <w:tr w:rsidR="0087138C" w14:paraId="38F0E9B3" w14:textId="77777777" w:rsidTr="00843B9F">
        <w:trPr>
          <w:trHeight w:val="699"/>
        </w:trPr>
        <w:tc>
          <w:tcPr>
            <w:tcW w:w="4112" w:type="dxa"/>
            <w:shd w:val="clear" w:color="auto" w:fill="D1D1D1" w:themeFill="background2" w:themeFillShade="E6"/>
          </w:tcPr>
          <w:p w14:paraId="0AF1BAEA" w14:textId="71552601" w:rsidR="007C79CD" w:rsidRPr="007C79CD" w:rsidRDefault="007C79CD" w:rsidP="007C79CD">
            <w:pPr>
              <w:spacing w:before="240" w:line="276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7C79CD">
              <w:rPr>
                <w:rFonts w:ascii="Arial" w:hAnsi="Arial" w:cs="Arial"/>
                <w:b/>
                <w:bCs/>
                <w:sz w:val="24"/>
                <w:szCs w:val="24"/>
              </w:rPr>
              <w:t>Impacto no Negócio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C79CD">
              <w:rPr>
                <w:rFonts w:ascii="Arial" w:hAnsi="Arial" w:cs="Arial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984" w:type="dxa"/>
            <w:shd w:val="clear" w:color="auto" w:fill="D1D1D1" w:themeFill="background2" w:themeFillShade="E6"/>
          </w:tcPr>
          <w:p w14:paraId="769C49E5" w14:textId="731F8539" w:rsidR="007C79CD" w:rsidRPr="00843B9F" w:rsidRDefault="00843B9F" w:rsidP="00843B9F">
            <w:pPr>
              <w:spacing w:before="24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3B9F">
              <w:rPr>
                <w:rFonts w:ascii="Arial" w:hAnsi="Arial" w:cs="Arial"/>
                <w:b/>
                <w:bCs/>
                <w:sz w:val="24"/>
                <w:szCs w:val="24"/>
              </w:rPr>
              <w:t>Média</w:t>
            </w:r>
          </w:p>
        </w:tc>
        <w:tc>
          <w:tcPr>
            <w:tcW w:w="1985" w:type="dxa"/>
            <w:shd w:val="clear" w:color="auto" w:fill="D1D1D1" w:themeFill="background2" w:themeFillShade="E6"/>
          </w:tcPr>
          <w:p w14:paraId="64CBBA72" w14:textId="77EA8AE2" w:rsidR="007C79CD" w:rsidRPr="00843B9F" w:rsidRDefault="00843B9F" w:rsidP="00843B9F">
            <w:pPr>
              <w:spacing w:before="24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3B9F">
              <w:rPr>
                <w:rFonts w:ascii="Arial" w:hAnsi="Arial" w:cs="Arial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126" w:type="dxa"/>
            <w:shd w:val="clear" w:color="auto" w:fill="D1D1D1" w:themeFill="background2" w:themeFillShade="E6"/>
          </w:tcPr>
          <w:p w14:paraId="76BC82C0" w14:textId="4FD2D6AD" w:rsidR="007C79CD" w:rsidRPr="00843B9F" w:rsidRDefault="00843B9F" w:rsidP="00843B9F">
            <w:pPr>
              <w:spacing w:before="24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3B9F">
              <w:rPr>
                <w:rFonts w:ascii="Arial" w:hAnsi="Arial" w:cs="Arial"/>
                <w:b/>
                <w:bCs/>
                <w:sz w:val="24"/>
                <w:szCs w:val="24"/>
              </w:rPr>
              <w:t>Muito alta</w:t>
            </w:r>
          </w:p>
        </w:tc>
      </w:tr>
      <w:tr w:rsidR="00B53752" w14:paraId="0AE6296D" w14:textId="77777777" w:rsidTr="00B53752">
        <w:trPr>
          <w:trHeight w:val="709"/>
        </w:trPr>
        <w:tc>
          <w:tcPr>
            <w:tcW w:w="4112" w:type="dxa"/>
            <w:shd w:val="clear" w:color="auto" w:fill="D1D1D1" w:themeFill="background2" w:themeFillShade="E6"/>
          </w:tcPr>
          <w:p w14:paraId="150FF59A" w14:textId="77777777" w:rsidR="007C79CD" w:rsidRDefault="007C79CD" w:rsidP="00843B9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C79CD">
              <w:rPr>
                <w:rFonts w:ascii="Arial" w:hAnsi="Arial" w:cs="Arial"/>
                <w:b/>
                <w:bCs/>
                <w:sz w:val="24"/>
                <w:szCs w:val="24"/>
              </w:rPr>
              <w:t>Importância para Stakeholders</w:t>
            </w:r>
          </w:p>
          <w:p w14:paraId="0D424BE0" w14:textId="0657F44B" w:rsidR="007C79CD" w:rsidRPr="007C79CD" w:rsidRDefault="007C79CD" w:rsidP="007C79C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C79CD">
              <w:rPr>
                <w:rFonts w:ascii="Arial" w:hAnsi="Arial" w:cs="Arial"/>
                <w:b/>
                <w:bCs/>
                <w:sz w:val="24"/>
                <w:szCs w:val="24"/>
              </w:rPr>
              <w:t>↓</w:t>
            </w:r>
          </w:p>
        </w:tc>
        <w:tc>
          <w:tcPr>
            <w:tcW w:w="1984" w:type="dxa"/>
            <w:shd w:val="clear" w:color="auto" w:fill="D1D1D1" w:themeFill="background2" w:themeFillShade="E6"/>
          </w:tcPr>
          <w:p w14:paraId="43658DAB" w14:textId="77777777" w:rsidR="007C79CD" w:rsidRDefault="007C79CD" w:rsidP="007C79C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D1D1D1" w:themeFill="background2" w:themeFillShade="E6"/>
          </w:tcPr>
          <w:p w14:paraId="29F8A2ED" w14:textId="77777777" w:rsidR="007C79CD" w:rsidRDefault="007C79CD" w:rsidP="007C79C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D1D1D1" w:themeFill="background2" w:themeFillShade="E6"/>
          </w:tcPr>
          <w:p w14:paraId="428F34B7" w14:textId="77777777" w:rsidR="007C79CD" w:rsidRDefault="007C79CD" w:rsidP="007C79C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87138C" w14:paraId="2C76381E" w14:textId="77777777" w:rsidTr="0087138C">
        <w:trPr>
          <w:trHeight w:val="997"/>
        </w:trPr>
        <w:tc>
          <w:tcPr>
            <w:tcW w:w="4112" w:type="dxa"/>
            <w:shd w:val="clear" w:color="auto" w:fill="D1D1D1" w:themeFill="background2" w:themeFillShade="E6"/>
            <w:vAlign w:val="center"/>
          </w:tcPr>
          <w:p w14:paraId="3ACFDF03" w14:textId="6C299D1E" w:rsidR="007C79CD" w:rsidRPr="00843B9F" w:rsidRDefault="00843B9F" w:rsidP="0087138C">
            <w:pPr>
              <w:spacing w:before="24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3B9F">
              <w:rPr>
                <w:rFonts w:ascii="Arial" w:hAnsi="Arial" w:cs="Arial"/>
                <w:b/>
                <w:bCs/>
                <w:sz w:val="24"/>
                <w:szCs w:val="24"/>
              </w:rPr>
              <w:t>Muito alta</w:t>
            </w:r>
          </w:p>
        </w:tc>
        <w:tc>
          <w:tcPr>
            <w:tcW w:w="1984" w:type="dxa"/>
          </w:tcPr>
          <w:p w14:paraId="53AB5A91" w14:textId="77777777" w:rsidR="007C79CD" w:rsidRDefault="007C79CD" w:rsidP="007C79C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6FBE5CC4" w14:textId="6460C2D2" w:rsidR="007C79CD" w:rsidRPr="00843B9F" w:rsidRDefault="0087138C" w:rsidP="0087138C">
            <w:pPr>
              <w:spacing w:before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843B9F" w:rsidRPr="00843B9F">
              <w:rPr>
                <w:rFonts w:ascii="Arial" w:hAnsi="Arial" w:cs="Arial"/>
              </w:rPr>
              <w:t>Condições de trabalho em centros logísticos</w:t>
            </w:r>
          </w:p>
        </w:tc>
        <w:tc>
          <w:tcPr>
            <w:tcW w:w="2126" w:type="dxa"/>
          </w:tcPr>
          <w:p w14:paraId="682499F6" w14:textId="08C03E6D" w:rsidR="007C79CD" w:rsidRDefault="0087138C" w:rsidP="0087138C">
            <w:pPr>
              <w:spacing w:before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843B9F" w:rsidRPr="00843B9F">
              <w:rPr>
                <w:rFonts w:ascii="Arial" w:hAnsi="Arial" w:cs="Arial"/>
              </w:rPr>
              <w:t>Privacidade e segurança de dados</w:t>
            </w:r>
          </w:p>
          <w:p w14:paraId="06871539" w14:textId="20858002" w:rsidR="0087138C" w:rsidRDefault="0087138C" w:rsidP="0087138C">
            <w:pPr>
              <w:spacing w:before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</w:t>
            </w:r>
          </w:p>
          <w:p w14:paraId="74F9C136" w14:textId="513B8DFF" w:rsidR="0087138C" w:rsidRPr="00843B9F" w:rsidRDefault="0087138C" w:rsidP="0087138C">
            <w:pPr>
              <w:spacing w:before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87138C">
              <w:rPr>
                <w:rFonts w:ascii="Arial" w:hAnsi="Arial" w:cs="Arial"/>
              </w:rPr>
              <w:t>Emissões de carbono e logística sustentável</w:t>
            </w:r>
          </w:p>
        </w:tc>
      </w:tr>
      <w:tr w:rsidR="0087138C" w14:paraId="6C1C66D9" w14:textId="77777777" w:rsidTr="0087138C">
        <w:trPr>
          <w:trHeight w:val="1719"/>
        </w:trPr>
        <w:tc>
          <w:tcPr>
            <w:tcW w:w="4112" w:type="dxa"/>
            <w:shd w:val="clear" w:color="auto" w:fill="D1D1D1" w:themeFill="background2" w:themeFillShade="E6"/>
            <w:vAlign w:val="center"/>
          </w:tcPr>
          <w:p w14:paraId="35A36438" w14:textId="5A0281C8" w:rsidR="007C79CD" w:rsidRPr="00843B9F" w:rsidRDefault="00843B9F" w:rsidP="0087138C">
            <w:pPr>
              <w:spacing w:before="24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3B9F">
              <w:rPr>
                <w:rFonts w:ascii="Arial" w:hAnsi="Arial" w:cs="Arial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1984" w:type="dxa"/>
          </w:tcPr>
          <w:p w14:paraId="5848837F" w14:textId="77777777" w:rsidR="007C79CD" w:rsidRDefault="007C79CD" w:rsidP="007C79C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28031AB1" w14:textId="29087C3A" w:rsidR="007C79CD" w:rsidRDefault="0087138C" w:rsidP="0087138C">
            <w:pPr>
              <w:spacing w:before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843B9F" w:rsidRPr="00843B9F">
              <w:rPr>
                <w:rFonts w:ascii="Arial" w:hAnsi="Arial" w:cs="Arial"/>
              </w:rPr>
              <w:t>Consumo de energia em data centers</w:t>
            </w:r>
          </w:p>
          <w:p w14:paraId="21B1B178" w14:textId="48E89C68" w:rsidR="0087138C" w:rsidRDefault="0087138C" w:rsidP="0087138C">
            <w:pPr>
              <w:spacing w:before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</w:t>
            </w:r>
          </w:p>
          <w:p w14:paraId="1E29BCD4" w14:textId="77777777" w:rsidR="0087138C" w:rsidRDefault="0087138C" w:rsidP="0087138C">
            <w:pPr>
              <w:spacing w:before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87138C">
              <w:rPr>
                <w:rFonts w:ascii="Arial" w:hAnsi="Arial" w:cs="Arial"/>
              </w:rPr>
              <w:t>Uso de embalagens e resíduos</w:t>
            </w:r>
          </w:p>
          <w:p w14:paraId="70E98017" w14:textId="4A5A5C25" w:rsidR="0087138C" w:rsidRPr="00843B9F" w:rsidRDefault="0087138C" w:rsidP="0087138C">
            <w:pPr>
              <w:spacing w:before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</w:t>
            </w:r>
            <w:r>
              <w:rPr>
                <w:rFonts w:ascii="Arial" w:hAnsi="Arial" w:cs="Arial"/>
              </w:rPr>
              <w:br/>
              <w:t xml:space="preserve">- </w:t>
            </w:r>
            <w:r w:rsidRPr="0087138C">
              <w:rPr>
                <w:rFonts w:ascii="Arial" w:hAnsi="Arial" w:cs="Arial"/>
              </w:rPr>
              <w:t>Ética e transparência empresarial</w:t>
            </w:r>
          </w:p>
        </w:tc>
        <w:tc>
          <w:tcPr>
            <w:tcW w:w="2126" w:type="dxa"/>
            <w:vAlign w:val="center"/>
          </w:tcPr>
          <w:p w14:paraId="48E3F435" w14:textId="2FFFEC57" w:rsidR="0087138C" w:rsidRPr="0087138C" w:rsidRDefault="0087138C" w:rsidP="0087138C">
            <w:pPr>
              <w:spacing w:before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87138C">
              <w:rPr>
                <w:rFonts w:ascii="Arial" w:hAnsi="Arial" w:cs="Arial"/>
              </w:rPr>
              <w:t>Inovação tecnológica e cloud computing</w:t>
            </w:r>
          </w:p>
        </w:tc>
      </w:tr>
      <w:tr w:rsidR="0087138C" w14:paraId="4056A7FD" w14:textId="77777777" w:rsidTr="0087138C">
        <w:trPr>
          <w:trHeight w:val="1300"/>
        </w:trPr>
        <w:tc>
          <w:tcPr>
            <w:tcW w:w="4112" w:type="dxa"/>
            <w:shd w:val="clear" w:color="auto" w:fill="D1D1D1" w:themeFill="background2" w:themeFillShade="E6"/>
            <w:vAlign w:val="center"/>
          </w:tcPr>
          <w:p w14:paraId="496DB078" w14:textId="0DC329BF" w:rsidR="007C79CD" w:rsidRPr="00843B9F" w:rsidRDefault="00843B9F" w:rsidP="0087138C">
            <w:pPr>
              <w:spacing w:before="24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3B9F">
              <w:rPr>
                <w:rFonts w:ascii="Arial" w:hAnsi="Arial" w:cs="Arial"/>
                <w:b/>
                <w:bCs/>
                <w:sz w:val="24"/>
                <w:szCs w:val="24"/>
              </w:rPr>
              <w:t>Média</w:t>
            </w:r>
          </w:p>
        </w:tc>
        <w:tc>
          <w:tcPr>
            <w:tcW w:w="1984" w:type="dxa"/>
            <w:vAlign w:val="center"/>
          </w:tcPr>
          <w:p w14:paraId="1017CEBA" w14:textId="0EDF9941" w:rsidR="007C79CD" w:rsidRPr="00843B9F" w:rsidRDefault="0087138C" w:rsidP="0087138C">
            <w:pPr>
              <w:tabs>
                <w:tab w:val="left" w:pos="390"/>
              </w:tabs>
              <w:spacing w:before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843B9F" w:rsidRPr="00843B9F">
              <w:rPr>
                <w:rFonts w:ascii="Arial" w:hAnsi="Arial" w:cs="Arial"/>
              </w:rPr>
              <w:t>Diversidade e inclusão</w:t>
            </w:r>
          </w:p>
        </w:tc>
        <w:tc>
          <w:tcPr>
            <w:tcW w:w="1985" w:type="dxa"/>
          </w:tcPr>
          <w:p w14:paraId="7C6274F5" w14:textId="77777777" w:rsidR="007C79CD" w:rsidRDefault="007C79CD" w:rsidP="007C79C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26" w:type="dxa"/>
          </w:tcPr>
          <w:p w14:paraId="682DCE77" w14:textId="77777777" w:rsidR="007C79CD" w:rsidRDefault="007C79CD" w:rsidP="007C79C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2359FB26" w14:textId="77777777" w:rsidR="007C79CD" w:rsidRPr="007C79CD" w:rsidRDefault="007C79CD" w:rsidP="0087138C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sectPr w:rsidR="007C79CD" w:rsidRPr="007C79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C724B"/>
    <w:multiLevelType w:val="multilevel"/>
    <w:tmpl w:val="FA1E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50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25"/>
    <w:rsid w:val="00046AAC"/>
    <w:rsid w:val="00111097"/>
    <w:rsid w:val="00224618"/>
    <w:rsid w:val="00314C71"/>
    <w:rsid w:val="007C0849"/>
    <w:rsid w:val="007C79CD"/>
    <w:rsid w:val="00843B9F"/>
    <w:rsid w:val="0087138C"/>
    <w:rsid w:val="008D3E1C"/>
    <w:rsid w:val="00A620F6"/>
    <w:rsid w:val="00AF7425"/>
    <w:rsid w:val="00B171FF"/>
    <w:rsid w:val="00B53752"/>
    <w:rsid w:val="00D2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C9F42"/>
  <w15:chartTrackingRefBased/>
  <w15:docId w15:val="{8920C54D-208E-49AF-9060-EFE4E549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7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7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7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7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7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74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74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74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74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74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74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7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74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74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74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74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74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F742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7425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7C7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6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otvs.com/blog/negocios/esg/" TargetMode="External"/><Relationship Id="rId3" Type="http://schemas.openxmlformats.org/officeDocument/2006/relationships/styles" Target="styles.xml"/><Relationship Id="rId7" Type="http://schemas.openxmlformats.org/officeDocument/2006/relationships/hyperlink" Target="https://gptw.com.br/conteudo/artigos/materialidade-e-es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ptw.com.br/conteudo/artigos/agenda-esg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23820-7403-4FEF-BE48-D320721A4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413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FUNDACAO VISCONDE DE PORTO SEGURO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Soares dos Santos</dc:creator>
  <cp:keywords/>
  <dc:description/>
  <cp:lastModifiedBy>Kaue Soares dos Santos</cp:lastModifiedBy>
  <cp:revision>2</cp:revision>
  <dcterms:created xsi:type="dcterms:W3CDTF">2026-03-09T14:12:00Z</dcterms:created>
  <dcterms:modified xsi:type="dcterms:W3CDTF">2026-03-09T17:56:00Z</dcterms:modified>
</cp:coreProperties>
</file>