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rPr>
          <w:rFonts w:ascii="Arial" w:cs="Arial" w:eastAsia="Arial" w:hAnsi="Arial"/>
          <w:b/>
          <w:bCs/>
          <w:color w:val="0F7E81"/>
          <w:spacing w:val="60"/>
          <w:sz w:val="26"/>
          <w:szCs w:val="26"/>
        </w:rPr>
        <w:t xml:space="preserve">PÓS-VENDA</w:t>
      </w:r>
    </w:p>
    <w:p>
      <w:pPr>
        <w:spacing w:after="0" w:before="180"/>
        <w:jc w:val="center"/>
      </w:pPr>
      <w:r>
        <w:rPr>
          <w:rFonts w:ascii="Arial" w:cs="Arial" w:eastAsia="Arial" w:hAnsi="Arial"/>
          <w:b/>
          <w:bCs/>
          <w:color w:val="0F1F5C"/>
          <w:sz w:val="60"/>
          <w:szCs w:val="60"/>
        </w:rPr>
        <w:t xml:space="preserve">Guia de Onboarding</w:t>
      </w:r>
    </w:p>
    <w:p>
      <w:pPr>
        <w:spacing w:after="0" w:before="110"/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Funções, indicadores, termos e fontes de informação</w:t>
      </w:r>
    </w:p>
    <w:p>
      <w:pPr>
        <w:spacing w:after="0" w:before="40"/>
        <w:jc w:val="center"/>
      </w:pPr>
      <w:r>
        <w:rPr>
          <w:rFonts w:ascii="Arial" w:cs="Arial" w:eastAsia="Arial" w:hAnsi="Arial"/>
          <w:b/>
          <w:bCs/>
          <w:color w:val="0F7E81"/>
          <w:sz w:val="22"/>
          <w:szCs w:val="22"/>
        </w:rPr>
        <w:t xml:space="preserve">Rede D21 (Chery) · A21 (Changan) — CAOA</w:t>
      </w:r>
    </w:p>
    <w:p>
      <w:pPr>
        <w:pBdr>
          <w:top w:val="single" w:color="0F7E81" w:sz="12" w:space="8"/>
          <w:bottom w:val="single" w:color="0F7E81" w:sz="12" w:space="8"/>
        </w:pBdr>
        <w:spacing w:after="0" w:before="520"/>
        <w:jc w:val="center"/>
      </w:pP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Material de consulta rápida para Aprendizes, Estagiários e Analistas</w:t>
      </w:r>
    </w:p>
    <w:p>
      <w:pPr>
        <w:spacing w:before="15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Governança, Performance e Melhoria Contínua — Pós-venda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F1F5C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keepLines/>
        <w:spacing w:after="110" w:before="220"/>
      </w:pPr>
      <w:r>
        <w:rPr>
          <w:rFonts w:ascii="Arial" w:cs="Arial" w:eastAsia="Arial" w:hAnsi="Arial"/>
          <w:b/>
          <w:bCs/>
          <w:color w:val="0F1F5C"/>
          <w:sz w:val="30"/>
          <w:szCs w:val="30"/>
        </w:rPr>
        <w:t xml:space="preserve">Como usar este guia</w:t>
      </w:r>
    </w:p>
    <w:p>
      <w:pPr>
        <w:spacing w:after="70" w:line="252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Este material acompanha a integração de quem está chegando ao Pós-venda — especialmente Aprendizes, Estagiários e Analistas. A ideia é ter, desde o primeiro dia, um guia em mãos que responde às dúvidas mais comuns sem precisar interromper a equipe a cada pergunta.</w:t>
      </w:r>
    </w:p>
    <w:p>
      <w:pPr>
        <w:spacing w:after="70" w:line="252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Use-o como referência rápida para entender o que é o Pós-venda e como a rede está organizada, com quem você vai trabalhar, o que cada indicador mede e por que importa, como o resultado de cada loja é calculado, onde encontrar cada informação e o que significam os termos do dia a dia.</w:t>
      </w:r>
    </w:p>
    <w:p>
      <w:pPr>
        <w:pBdr>
          <w:left w:val="single" w:color="0F7E81" w:sz="18" w:space="10"/>
        </w:pBdr>
        <w:spacing w:after="90" w:before="50" w:line="248"/>
        <w:ind w:left="160"/>
      </w:pPr>
      <w:r>
        <w:rPr>
          <w:rFonts w:ascii="Arial" w:cs="Arial" w:eastAsia="Arial" w:hAnsi="Arial"/>
          <w:b/>
          <w:bCs/>
          <w:color w:val="0F7E81"/>
          <w:sz w:val="20"/>
          <w:szCs w:val="20"/>
        </w:rPr>
        <w:t xml:space="preserve">Como ler os faróis: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Verde significa dentro da meta, Amarelo é atenção e Vermelho é fora da meta / ação necessária. É a mesma lógica de cores do Fechamento Regional e do Power BI.</w:t>
      </w:r>
    </w:p>
    <w:p>
      <w:pPr>
        <w:pStyle w:val="Heading1"/>
        <w:keepNext/>
        <w:keepLines/>
        <w:spacing w:after="110" w:before="220"/>
      </w:pPr>
      <w:r>
        <w:rPr>
          <w:rFonts w:ascii="Arial" w:cs="Arial" w:eastAsia="Arial" w:hAnsi="Arial"/>
          <w:b/>
          <w:bCs/>
          <w:color w:val="0F1F5C"/>
          <w:sz w:val="30"/>
          <w:szCs w:val="30"/>
        </w:rPr>
        <w:t xml:space="preserve">1. A operação de Pós-venda</w:t>
      </w:r>
    </w:p>
    <w:p>
      <w:pPr>
        <w:spacing w:after="70" w:line="252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Pós-venda garante a continuidade da experiência do cliente depois da compra do veículo. Envolve atendimento, agendamento, recepção, abertura de ordem de serviço, execução dos serviços, controle de qualidade, entrega, acompanhamento pós-serviço, peças, garantia, campanhas, treinamentos e gestão de performance. No corporativo, a área tem forte atuação em governança e melhoria contínua: acompanha indicadores para identificar gargalos, direcionar planos de ação e apoiar as concessionárias na evolução dos resultados.</w:t>
      </w:r>
    </w:p>
    <w:p>
      <w:pPr>
        <w:pStyle w:val="Heading2"/>
        <w:keepNext/>
        <w:keepLines/>
        <w:spacing w:after="70" w:before="160"/>
      </w:pPr>
      <w:r>
        <w:rPr>
          <w:rFonts w:ascii="Arial" w:cs="Arial" w:eastAsia="Arial" w:hAnsi="Arial"/>
          <w:b/>
          <w:bCs/>
          <w:color w:val="0F7E81"/>
          <w:sz w:val="24"/>
          <w:szCs w:val="24"/>
        </w:rPr>
        <w:t xml:space="preserve">As marcas e a rede</w:t>
      </w:r>
    </w:p>
    <w:p>
      <w:pPr>
        <w:spacing w:after="70" w:line="252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Trabalhamos com duas bandeiras: </w:t>
      </w:r>
      <w:r>
        <w:rPr>
          <w:rFonts w:ascii="Arial" w:cs="Arial" w:eastAsia="Arial" w:hAnsi="Arial"/>
          <w:b/>
          <w:bCs/>
          <w:color w:val="0F1F5C"/>
          <w:sz w:val="21"/>
          <w:szCs w:val="21"/>
        </w:rPr>
        <w:t xml:space="preserve">D21 Motors (Chery)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, já consolidada, e </w:t>
      </w:r>
      <w:r>
        <w:rPr>
          <w:rFonts w:ascii="Arial" w:cs="Arial" w:eastAsia="Arial" w:hAnsi="Arial"/>
          <w:b/>
          <w:bCs/>
          <w:color w:val="0F1F5C"/>
          <w:sz w:val="21"/>
          <w:szCs w:val="21"/>
        </w:rPr>
        <w:t xml:space="preserve">A21 Motors (Changan)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, em implantação. A rede D21 é acompanhada de forma regionalizada: 53 concessionárias distribuídas em 7 regionais, cada uma com um gestor regional, sob a diretoria de Pós-venda. Cada loja é identificada por um código de 4 dígitos, usado como chave em todas as bases.</w:t>
      </w:r>
    </w:p>
    <w:p>
      <w:pPr>
        <w:pStyle w:val="Heading2"/>
        <w:keepNext/>
        <w:keepLines/>
        <w:spacing w:after="70" w:before="160"/>
      </w:pPr>
      <w:r>
        <w:rPr>
          <w:rFonts w:ascii="Arial" w:cs="Arial" w:eastAsia="Arial" w:hAnsi="Arial"/>
          <w:b/>
          <w:bCs/>
          <w:color w:val="0F7E81"/>
          <w:sz w:val="24"/>
          <w:szCs w:val="24"/>
        </w:rPr>
        <w:t xml:space="preserve">As frentes de atuação</w:t>
      </w:r>
    </w:p>
    <w:p>
      <w:pPr>
        <w:pStyle w:val="ListParagraph"/>
        <w:numPr>
          <w:ilvl w:val="0"/>
          <w:numId w:val="2"/>
        </w:numPr>
        <w:spacing w:after="24" w:line="246"/>
      </w:pPr>
      <w:r>
        <w:rPr>
          <w:rFonts w:ascii="Arial" w:cs="Arial" w:eastAsia="Arial" w:hAnsi="Arial"/>
          <w:b/>
          <w:bCs/>
          <w:color w:val="0F1F5C"/>
          <w:sz w:val="21"/>
          <w:szCs w:val="21"/>
        </w:rPr>
        <w:t xml:space="preserve">Atendimento e experiência do cliente —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toda a jornada, do agendamento ao pós-serviço; foco em padrão, prazo, transparência e satisfação.</w:t>
      </w:r>
    </w:p>
    <w:p>
      <w:pPr>
        <w:pStyle w:val="ListParagraph"/>
        <w:numPr>
          <w:ilvl w:val="0"/>
          <w:numId w:val="2"/>
        </w:numPr>
        <w:spacing w:after="24" w:line="246"/>
      </w:pPr>
      <w:r>
        <w:rPr>
          <w:rFonts w:ascii="Arial" w:cs="Arial" w:eastAsia="Arial" w:hAnsi="Arial"/>
          <w:b/>
          <w:bCs/>
          <w:color w:val="0F1F5C"/>
          <w:sz w:val="21"/>
          <w:szCs w:val="21"/>
        </w:rPr>
        <w:t xml:space="preserve">Performance operacional —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faturamento, OS em aberto, imobilizados, capacidade, agendamento, campanhas, recall e garantia.</w:t>
      </w:r>
    </w:p>
    <w:p>
      <w:pPr>
        <w:pStyle w:val="ListParagraph"/>
        <w:numPr>
          <w:ilvl w:val="0"/>
          <w:numId w:val="2"/>
        </w:numPr>
        <w:spacing w:after="24" w:line="246"/>
      </w:pPr>
      <w:r>
        <w:rPr>
          <w:rFonts w:ascii="Arial" w:cs="Arial" w:eastAsia="Arial" w:hAnsi="Arial"/>
          <w:b/>
          <w:bCs/>
          <w:color w:val="0F1F5C"/>
          <w:sz w:val="21"/>
          <w:szCs w:val="21"/>
        </w:rPr>
        <w:t xml:space="preserve">Governança da rede —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acompanhar as lojas por regional, identificar críticas, direcionar planos de ação e medir a evolução.</w:t>
      </w:r>
    </w:p>
    <w:p>
      <w:pPr>
        <w:pStyle w:val="ListParagraph"/>
        <w:numPr>
          <w:ilvl w:val="0"/>
          <w:numId w:val="2"/>
        </w:numPr>
        <w:spacing w:after="24" w:line="246"/>
      </w:pPr>
      <w:r>
        <w:rPr>
          <w:rFonts w:ascii="Arial" w:cs="Arial" w:eastAsia="Arial" w:hAnsi="Arial"/>
          <w:b/>
          <w:bCs/>
          <w:color w:val="0F1F5C"/>
          <w:sz w:val="21"/>
          <w:szCs w:val="21"/>
        </w:rPr>
        <w:t xml:space="preserve">Treinamento e capacitação —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garantir o quadro obrigatório contratado e treinado, sobretudo em operações novas como a Changan.</w:t>
      </w:r>
    </w:p>
    <w:p>
      <w:pPr>
        <w:pStyle w:val="ListParagraph"/>
        <w:numPr>
          <w:ilvl w:val="0"/>
          <w:numId w:val="2"/>
        </w:numPr>
        <w:spacing w:after="24" w:line="246"/>
      </w:pPr>
      <w:r>
        <w:rPr>
          <w:rFonts w:ascii="Arial" w:cs="Arial" w:eastAsia="Arial" w:hAnsi="Arial"/>
          <w:b/>
          <w:bCs/>
          <w:color w:val="0F1F5C"/>
          <w:sz w:val="21"/>
          <w:szCs w:val="21"/>
        </w:rPr>
        <w:t xml:space="preserve">Abertura e estrutura de concessionárias —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avaliar se a loja tem mão de obra, ferramental, equipamentos e estrutura mínima para operar.</w:t>
      </w:r>
    </w:p>
    <w:p>
      <w:pPr>
        <w:pStyle w:val="Heading1"/>
        <w:keepNext/>
        <w:keepLines/>
        <w:spacing w:after="110" w:before="220"/>
      </w:pPr>
      <w:r>
        <w:rPr>
          <w:rFonts w:ascii="Arial" w:cs="Arial" w:eastAsia="Arial" w:hAnsi="Arial"/>
          <w:b/>
          <w:bCs/>
          <w:color w:val="0F1F5C"/>
          <w:sz w:val="30"/>
          <w:szCs w:val="30"/>
        </w:rPr>
        <w:t xml:space="preserve">2. Com quem você vai trabalhar</w:t>
      </w:r>
    </w:p>
    <w:p>
      <w:pPr>
        <w:spacing w:after="70" w:line="252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Independentemente da sua função, esta é a cadeia com quem você vai se relacionar — da diretoria até a ponta, na concessionária.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50"/>
        <w:gridCol w:w="6276"/>
      </w:tblGrid>
      <w:tr>
        <w:trPr>
          <w:tblHeader/>
        </w:trPr>
        <w:tc>
          <w:tcPr>
            <w:tcW w:type="dxa" w:w="2750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6276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Quem é e o que faz</w:t>
            </w:r>
          </w:p>
        </w:tc>
      </w:tr>
      <w:tr>
        <w:tc>
          <w:tcPr>
            <w:tcW w:type="dxa" w:w="27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Diretor de Pós-venda</w:t>
            </w:r>
          </w:p>
        </w:tc>
        <w:tc>
          <w:tcPr>
            <w:tcW w:type="dxa" w:w="627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Ronie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— define diretrizes, metodologia e prioridades da área e aprova decisões que afetam toda a rede.</w:t>
            </w:r>
          </w:p>
        </w:tc>
      </w:tr>
      <w:tr>
        <w:tc>
          <w:tcPr>
            <w:tcW w:type="dxa" w:w="27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Gerente Corporativo</w:t>
            </w:r>
          </w:p>
        </w:tc>
        <w:tc>
          <w:tcPr>
            <w:tcW w:type="dxa" w:w="627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Marcelo Gandolpho</w:t>
            </w: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— conduz a operação corporativa do Pós-venda e a relação com as regionais.</w:t>
            </w:r>
          </w:p>
        </w:tc>
      </w:tr>
      <w:tr>
        <w:tc>
          <w:tcPr>
            <w:tcW w:type="dxa" w:w="27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Gerentes Regionais</w:t>
            </w:r>
          </w:p>
        </w:tc>
        <w:tc>
          <w:tcPr>
            <w:tcW w:type="dxa" w:w="627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Cada um acompanha as concessionárias da sua regional, cobra planos de ação e apoia os gerentes das lojas — como Marcos Willame, Marco Osthues, Thiago Oliveira, Horiane, Danilo Souza e Wilson Dornelas.</w:t>
            </w:r>
          </w:p>
        </w:tc>
      </w:tr>
      <w:tr>
        <w:tc>
          <w:tcPr>
            <w:tcW w:type="dxa" w:w="27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Gerente de Pós-venda (GPV)</w:t>
            </w:r>
          </w:p>
        </w:tc>
        <w:tc>
          <w:tcPr>
            <w:tcW w:type="dxa" w:w="627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Na concessionária, responde por toda a operação de Pós-venda da loja: atendimento, oficina, peças, garantia, faturamento e satisfação do cliente.</w:t>
            </w:r>
          </w:p>
        </w:tc>
      </w:tr>
      <w:tr>
        <w:tc>
          <w:tcPr>
            <w:tcW w:type="dxa" w:w="27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Funcionários da concessionária</w:t>
            </w:r>
          </w:p>
        </w:tc>
        <w:tc>
          <w:tcPr>
            <w:tcW w:type="dxa" w:w="627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 equipe que opera a loja no dia a dia: chefe de oficina, controlador de quadro, consultor técnico, técnico, garantista, peças, agendador e caixa.</w:t>
            </w:r>
          </w:p>
        </w:tc>
      </w:tr>
    </w:tbl>
    <w:p>
      <w:pPr>
        <w:pStyle w:val="Heading2"/>
        <w:keepNext/>
        <w:keepLines/>
        <w:spacing w:after="70" w:before="160"/>
      </w:pPr>
      <w:r>
        <w:rPr>
          <w:rFonts w:ascii="Arial" w:cs="Arial" w:eastAsia="Arial" w:hAnsi="Arial"/>
          <w:b/>
          <w:bCs/>
          <w:color w:val="0F7E81"/>
          <w:sz w:val="24"/>
          <w:szCs w:val="24"/>
        </w:rPr>
        <w:t xml:space="preserve">Trilha de carreira técnica</w:t>
      </w:r>
    </w:p>
    <w:p>
      <w:pPr>
        <w:spacing w:after="70" w:line="252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formação dos técnicos segue três níveis: </w:t>
      </w:r>
      <w:r>
        <w:rPr>
          <w:rFonts w:ascii="Arial" w:cs="Arial" w:eastAsia="Arial" w:hAnsi="Arial"/>
          <w:b/>
          <w:bCs/>
          <w:color w:val="0F7E81"/>
          <w:sz w:val="21"/>
          <w:szCs w:val="21"/>
        </w:rPr>
        <w:t xml:space="preserve">Assistente Técnico → Técnico → Técnico Diagnóstico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. A passagem entre níveis depende de cursos com pré-requisitos da montadora.</w:t>
      </w:r>
    </w:p>
    <w:p>
      <w:pPr>
        <w:pBdr>
          <w:left w:val="single" w:color="0F7E81" w:sz="18" w:space="10"/>
        </w:pBdr>
        <w:spacing w:after="90" w:before="50" w:line="248"/>
        <w:ind w:left="160"/>
      </w:pPr>
      <w:r>
        <w:rPr>
          <w:rFonts w:ascii="Arial" w:cs="Arial" w:eastAsia="Arial" w:hAnsi="Arial"/>
          <w:b/>
          <w:bCs/>
          <w:color w:val="0F7E81"/>
          <w:sz w:val="20"/>
          <w:szCs w:val="20"/>
        </w:rPr>
        <w:t xml:space="preserve">Sequência da trilha de diagnóstico: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Elétrica e Eletrônica → NR10 → Diagnóstico de Veículos Eletrificados I → Osciloscópio → Rede CAN. A ordem é obrigatória.</w:t>
      </w:r>
    </w:p>
    <w:p>
      <w:pPr>
        <w:pStyle w:val="Heading1"/>
        <w:keepNext/>
        <w:keepLines/>
        <w:spacing w:after="110" w:before="220"/>
      </w:pPr>
      <w:r>
        <w:rPr>
          <w:rFonts w:ascii="Arial" w:cs="Arial" w:eastAsia="Arial" w:hAnsi="Arial"/>
          <w:b/>
          <w:bCs/>
          <w:color w:val="0F1F5C"/>
          <w:sz w:val="30"/>
          <w:szCs w:val="30"/>
        </w:rPr>
        <w:t xml:space="preserve">3. Os indicadores</w:t>
      </w:r>
    </w:p>
    <w:p>
      <w:pPr>
        <w:spacing w:after="70" w:line="252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parte mais consultada do guia. Para cada indicador você precisa saber o que ele mede, como é avaliado (a régua de faróis) e onde encontrá-lo. Nunca leia um indicador isolado — o retrato da loja vem do conjunto.</w:t>
      </w:r>
    </w:p>
    <w:p>
      <w:pPr>
        <w:pStyle w:val="Heading2"/>
        <w:keepNext/>
        <w:keepLines/>
        <w:spacing w:after="70" w:before="160"/>
      </w:pPr>
      <w:r>
        <w:rPr>
          <w:rFonts w:ascii="Arial" w:cs="Arial" w:eastAsia="Arial" w:hAnsi="Arial"/>
          <w:b/>
          <w:bCs/>
          <w:color w:val="0F7E81"/>
          <w:sz w:val="24"/>
          <w:szCs w:val="24"/>
        </w:rPr>
        <w:t xml:space="preserve">3.1 O que cada indicador mede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150"/>
        <w:gridCol w:w="5350"/>
        <w:gridCol w:w="1526"/>
      </w:tblGrid>
      <w:tr>
        <w:trPr>
          <w:tblHeader/>
        </w:trPr>
        <w:tc>
          <w:tcPr>
            <w:tcW w:type="dxa" w:w="2150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5350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mede e qual o intuito</w:t>
            </w:r>
          </w:p>
        </w:tc>
        <w:tc>
          <w:tcPr>
            <w:tcW w:type="dxa" w:w="1526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Onde encontrar</w:t>
            </w:r>
          </w:p>
        </w:tc>
      </w:tr>
      <w:tr>
        <w:tc>
          <w:tcPr>
            <w:tcW w:type="dxa" w:w="21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Faturamento × Objetivo</w:t>
            </w:r>
          </w:p>
        </w:tc>
        <w:tc>
          <w:tcPr>
            <w:tcW w:type="dxa" w:w="5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Compara o faturado com a meta. Mede a performance financeira do Pós-venda. Ler junto com passagens, campanhas, capacidade, OS e agendamento.</w:t>
            </w:r>
          </w:p>
        </w:tc>
        <w:tc>
          <w:tcPr>
            <w:tcW w:type="dxa" w:w="15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DMS</w:t>
            </w:r>
          </w:p>
        </w:tc>
      </w:tr>
      <w:tr>
        <w:tc>
          <w:tcPr>
            <w:tcW w:type="dxa" w:w="21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OS em aberto &gt; 30 dias</w:t>
            </w:r>
          </w:p>
        </w:tc>
        <w:tc>
          <w:tcPr>
            <w:tcW w:type="dxa" w:w="5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Ordens de serviço ainda não encerradas/faturadas. Controla backlog, perda financeira e risco de atraso. Avaliado em % sobre as passagens.</w:t>
            </w:r>
          </w:p>
        </w:tc>
        <w:tc>
          <w:tcPr>
            <w:tcW w:type="dxa" w:w="15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ROF001 (DMS)</w:t>
            </w:r>
          </w:p>
        </w:tc>
      </w:tr>
      <w:tr>
        <w:tc>
          <w:tcPr>
            <w:tcW w:type="dxa" w:w="21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NPS</w:t>
            </w:r>
          </w:p>
        </w:tc>
        <w:tc>
          <w:tcPr>
            <w:tcW w:type="dxa" w:w="5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Net Promoter Score — o quanto o cliente recomendaria a loja/marca após o atendimento.</w:t>
            </w:r>
          </w:p>
        </w:tc>
        <w:tc>
          <w:tcPr>
            <w:tcW w:type="dxa" w:w="15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Index (NPS/CCSI)</w:t>
            </w:r>
          </w:p>
        </w:tc>
      </w:tr>
      <w:tr>
        <w:tc>
          <w:tcPr>
            <w:tcW w:type="dxa" w:w="21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CCSI</w:t>
            </w:r>
          </w:p>
        </w:tc>
        <w:tc>
          <w:tcPr>
            <w:tcW w:type="dxa" w:w="5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Índice de satisfação do cliente no Pós-venda ao longo da jornada (atendimento, serviço, entrega, comunicação).</w:t>
            </w:r>
          </w:p>
        </w:tc>
        <w:tc>
          <w:tcPr>
            <w:tcW w:type="dxa" w:w="15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Index (NPS/CCSI)</w:t>
            </w:r>
          </w:p>
        </w:tc>
      </w:tr>
      <w:tr>
        <w:tc>
          <w:tcPr>
            <w:tcW w:type="dxa" w:w="21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Imobilizados &gt; 30 dias</w:t>
            </w:r>
          </w:p>
        </w:tc>
        <w:tc>
          <w:tcPr>
            <w:tcW w:type="dxa" w:w="5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Veículos parados na loja aguardando diagnóstico, peça, garantia, aprovação ou conclusão. Quanto menor, melhor. Casos judiciais à parte.</w:t>
            </w:r>
          </w:p>
        </w:tc>
        <w:tc>
          <w:tcPr>
            <w:tcW w:type="dxa" w:w="15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Base de Imobilizados</w:t>
            </w:r>
          </w:p>
        </w:tc>
      </w:tr>
      <w:tr>
        <w:tc>
          <w:tcPr>
            <w:tcW w:type="dxa" w:w="21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Ocupação / Capacidade Técnica</w:t>
            </w:r>
          </w:p>
        </w:tc>
        <w:tc>
          <w:tcPr>
            <w:tcW w:type="dxa" w:w="5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Relação entre demanda e capacidade da oficina (técnicos, boxes/elevadores, vagas). Premissa: ~4 veículos/dia por técnico.</w:t>
            </w:r>
          </w:p>
        </w:tc>
        <w:tc>
          <w:tcPr>
            <w:tcW w:type="dxa" w:w="15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Cadastro de Capacidade</w:t>
            </w:r>
          </w:p>
        </w:tc>
      </w:tr>
      <w:tr>
        <w:tc>
          <w:tcPr>
            <w:tcW w:type="dxa" w:w="21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Agendamento</w:t>
            </w:r>
          </w:p>
        </w:tc>
        <w:tc>
          <w:tcPr>
            <w:tcW w:type="dxa" w:w="5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Prazo (em dias) para o cliente conseguir atendimento. Mede a disponibilidade da oficina. Cruzar com capacidade e OS.</w:t>
            </w:r>
          </w:p>
        </w:tc>
        <w:tc>
          <w:tcPr>
            <w:tcW w:type="dxa" w:w="15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Controle de Agenda / DMS</w:t>
            </w:r>
          </w:p>
        </w:tc>
      </w:tr>
      <w:tr>
        <w:tc>
          <w:tcPr>
            <w:tcW w:type="dxa" w:w="21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Garantia</w:t>
            </w:r>
          </w:p>
        </w:tc>
        <w:tc>
          <w:tcPr>
            <w:tcW w:type="dxa" w:w="5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Processos de garantia, aprovações, pendências e regularização de valores. Acompanhada com defasagem (D-2) em alguns fechamentos.</w:t>
            </w:r>
          </w:p>
        </w:tc>
        <w:tc>
          <w:tcPr>
            <w:tcW w:type="dxa" w:w="15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Portal de garantia</w:t>
            </w:r>
          </w:p>
        </w:tc>
      </w:tr>
      <w:tr>
        <w:tc>
          <w:tcPr>
            <w:tcW w:type="dxa" w:w="21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Campanhas e Recall</w:t>
            </w:r>
          </w:p>
        </w:tc>
        <w:tc>
          <w:tcPr>
            <w:tcW w:type="dxa" w:w="5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Nível de execução de campanhas e recalls pendentes. Apoia segurança, conformidade e faturamento. Quanto maior o %, melhor.</w:t>
            </w:r>
          </w:p>
        </w:tc>
        <w:tc>
          <w:tcPr>
            <w:tcW w:type="dxa" w:w="15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Portal da montadora</w:t>
            </w:r>
          </w:p>
        </w:tc>
      </w:tr>
    </w:tbl>
    <w:p>
      <w:pPr>
        <w:pStyle w:val="Heading2"/>
        <w:keepNext/>
        <w:keepLines/>
        <w:spacing w:after="70" w:before="160"/>
      </w:pPr>
      <w:r>
        <w:rPr>
          <w:rFonts w:ascii="Arial" w:cs="Arial" w:eastAsia="Arial" w:hAnsi="Arial"/>
          <w:b/>
          <w:bCs/>
          <w:color w:val="0F7E81"/>
          <w:sz w:val="24"/>
          <w:szCs w:val="24"/>
        </w:rPr>
        <w:t xml:space="preserve">3.2 Faróis — como cada indicador é avaliado</w:t>
      </w:r>
    </w:p>
    <w:p>
      <w:pPr>
        <w:spacing w:after="70" w:line="252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Régua oficial usada no Fechamento Regional; determina a cor de cada indicador em cada loja.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550"/>
        <w:gridCol w:w="2159"/>
        <w:gridCol w:w="2159"/>
        <w:gridCol w:w="2159"/>
      </w:tblGrid>
      <w:tr>
        <w:trPr>
          <w:tblHeader/>
        </w:trPr>
        <w:tc>
          <w:tcPr>
            <w:tcW w:type="dxa" w:w="2550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 / peso</w:t>
            </w:r>
          </w:p>
        </w:tc>
        <w:tc>
          <w:tcPr>
            <w:tcW w:type="dxa" w:w="2159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Verde</w:t>
            </w:r>
          </w:p>
        </w:tc>
        <w:tc>
          <w:tcPr>
            <w:tcW w:type="dxa" w:w="2159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🟡 Amarelo</w:t>
            </w:r>
          </w:p>
        </w:tc>
        <w:tc>
          <w:tcPr>
            <w:tcW w:type="dxa" w:w="2159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🔴 Vermelho</w:t>
            </w:r>
          </w:p>
        </w:tc>
      </w:tr>
      <w:tr>
        <w:tc>
          <w:tcPr>
            <w:tcW w:type="dxa" w:w="25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Faturamento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peso 24%</w:t>
            </w:r>
          </w:p>
        </w:tc>
        <w:tc>
          <w:tcPr>
            <w:tcW w:type="dxa" w:w="2159"/>
            <w:shd w:fill="DCFCE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≥ 100%</w:t>
            </w:r>
          </w:p>
        </w:tc>
        <w:tc>
          <w:tcPr>
            <w:tcW w:type="dxa" w:w="2159"/>
            <w:shd w:fill="FEF3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90 – 99,99%</w:t>
            </w:r>
          </w:p>
        </w:tc>
        <w:tc>
          <w:tcPr>
            <w:tcW w:type="dxa" w:w="2159"/>
            <w:shd w:fill="FEE2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&lt; 90%</w:t>
            </w:r>
          </w:p>
        </w:tc>
      </w:tr>
      <w:tr>
        <w:tc>
          <w:tcPr>
            <w:tcW w:type="dxa" w:w="25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OS &gt; 30 dias (% s/ passagens)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peso 19%</w:t>
            </w:r>
          </w:p>
        </w:tc>
        <w:tc>
          <w:tcPr>
            <w:tcW w:type="dxa" w:w="2159"/>
            <w:shd w:fill="DCFCE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≤ 1%</w:t>
            </w:r>
          </w:p>
        </w:tc>
        <w:tc>
          <w:tcPr>
            <w:tcW w:type="dxa" w:w="2159"/>
            <w:shd w:fill="FEF3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1 – 5%</w:t>
            </w:r>
          </w:p>
        </w:tc>
        <w:tc>
          <w:tcPr>
            <w:tcW w:type="dxa" w:w="2159"/>
            <w:shd w:fill="FEE2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&gt; 5%</w:t>
            </w:r>
          </w:p>
        </w:tc>
      </w:tr>
      <w:tr>
        <w:tc>
          <w:tcPr>
            <w:tcW w:type="dxa" w:w="25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NPS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peso 14%</w:t>
            </w:r>
          </w:p>
        </w:tc>
        <w:tc>
          <w:tcPr>
            <w:tcW w:type="dxa" w:w="2159"/>
            <w:shd w:fill="DCFCE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≥ 74</w:t>
            </w:r>
          </w:p>
        </w:tc>
        <w:tc>
          <w:tcPr>
            <w:tcW w:type="dxa" w:w="2159"/>
            <w:shd w:fill="FEF3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70 – 73,99</w:t>
            </w:r>
          </w:p>
        </w:tc>
        <w:tc>
          <w:tcPr>
            <w:tcW w:type="dxa" w:w="2159"/>
            <w:shd w:fill="FEE2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&lt; 70</w:t>
            </w:r>
          </w:p>
        </w:tc>
      </w:tr>
      <w:tr>
        <w:tc>
          <w:tcPr>
            <w:tcW w:type="dxa" w:w="25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CCSI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peso 14%</w:t>
            </w:r>
          </w:p>
        </w:tc>
        <w:tc>
          <w:tcPr>
            <w:tcW w:type="dxa" w:w="2159"/>
            <w:shd w:fill="DCFCE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≥ 930</w:t>
            </w:r>
          </w:p>
        </w:tc>
        <w:tc>
          <w:tcPr>
            <w:tcW w:type="dxa" w:w="2159"/>
            <w:shd w:fill="FEF3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900 – 929,99</w:t>
            </w:r>
          </w:p>
        </w:tc>
        <w:tc>
          <w:tcPr>
            <w:tcW w:type="dxa" w:w="2159"/>
            <w:shd w:fill="FEE2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&lt; 900</w:t>
            </w:r>
          </w:p>
        </w:tc>
      </w:tr>
      <w:tr>
        <w:tc>
          <w:tcPr>
            <w:tcW w:type="dxa" w:w="25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Imobilizados &gt; 30 dias (qtd.)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peso 9%</w:t>
            </w:r>
          </w:p>
        </w:tc>
        <w:tc>
          <w:tcPr>
            <w:tcW w:type="dxa" w:w="2159"/>
            <w:shd w:fill="DCFCE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0 veículo</w:t>
            </w:r>
          </w:p>
        </w:tc>
        <w:tc>
          <w:tcPr>
            <w:tcW w:type="dxa" w:w="2159"/>
            <w:shd w:fill="FEF3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1 veículo</w:t>
            </w:r>
          </w:p>
        </w:tc>
        <w:tc>
          <w:tcPr>
            <w:tcW w:type="dxa" w:w="2159"/>
            <w:shd w:fill="FEE2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≥ 2 veículos</w:t>
            </w:r>
          </w:p>
        </w:tc>
      </w:tr>
      <w:tr>
        <w:tc>
          <w:tcPr>
            <w:tcW w:type="dxa" w:w="25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Ocupação Técnica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peso 5%</w:t>
            </w:r>
          </w:p>
        </w:tc>
        <w:tc>
          <w:tcPr>
            <w:tcW w:type="dxa" w:w="2159"/>
            <w:shd w:fill="DCFCE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≤ 120%</w:t>
            </w:r>
          </w:p>
        </w:tc>
        <w:tc>
          <w:tcPr>
            <w:tcW w:type="dxa" w:w="2159"/>
            <w:shd w:fill="FEF3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120 – 130%</w:t>
            </w:r>
          </w:p>
        </w:tc>
        <w:tc>
          <w:tcPr>
            <w:tcW w:type="dxa" w:w="2159"/>
            <w:shd w:fill="FEE2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&gt; 130%</w:t>
            </w:r>
          </w:p>
        </w:tc>
      </w:tr>
      <w:tr>
        <w:tc>
          <w:tcPr>
            <w:tcW w:type="dxa" w:w="25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Agendamento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peso 5%</w:t>
            </w:r>
          </w:p>
        </w:tc>
        <w:tc>
          <w:tcPr>
            <w:tcW w:type="dxa" w:w="2159"/>
            <w:shd w:fill="DCFCE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&lt; 15 dias</w:t>
            </w:r>
          </w:p>
        </w:tc>
        <w:tc>
          <w:tcPr>
            <w:tcW w:type="dxa" w:w="2159"/>
            <w:shd w:fill="FEF3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15 – 20 dias</w:t>
            </w:r>
          </w:p>
        </w:tc>
        <w:tc>
          <w:tcPr>
            <w:tcW w:type="dxa" w:w="2159"/>
            <w:shd w:fill="FEE2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&gt; 20 dias</w:t>
            </w:r>
          </w:p>
        </w:tc>
      </w:tr>
      <w:tr>
        <w:tc>
          <w:tcPr>
            <w:tcW w:type="dxa" w:w="25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Garantia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peso 5%</w:t>
            </w:r>
          </w:p>
        </w:tc>
        <w:tc>
          <w:tcPr>
            <w:tcW w:type="dxa" w:w="2159"/>
            <w:shd w:fill="DCFCE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≥ 95%</w:t>
            </w:r>
          </w:p>
        </w:tc>
        <w:tc>
          <w:tcPr>
            <w:tcW w:type="dxa" w:w="2159"/>
            <w:shd w:fill="FEF3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90 – 94,99%</w:t>
            </w:r>
          </w:p>
        </w:tc>
        <w:tc>
          <w:tcPr>
            <w:tcW w:type="dxa" w:w="2159"/>
            <w:shd w:fill="FEE2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&lt; 90%</w:t>
            </w:r>
          </w:p>
        </w:tc>
      </w:tr>
      <w:tr>
        <w:tc>
          <w:tcPr>
            <w:tcW w:type="dxa" w:w="255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Campanhas e Recall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peso 5%</w:t>
            </w:r>
          </w:p>
        </w:tc>
        <w:tc>
          <w:tcPr>
            <w:tcW w:type="dxa" w:w="2159"/>
            <w:shd w:fill="DCFCE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≥ 90%</w:t>
            </w:r>
          </w:p>
        </w:tc>
        <w:tc>
          <w:tcPr>
            <w:tcW w:type="dxa" w:w="2159"/>
            <w:shd w:fill="FEF3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70 – 89,99%</w:t>
            </w:r>
          </w:p>
        </w:tc>
        <w:tc>
          <w:tcPr>
            <w:tcW w:type="dxa" w:w="2159"/>
            <w:shd w:fill="FEE2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&lt; 70%</w:t>
            </w:r>
          </w:p>
        </w:tc>
      </w:tr>
    </w:tbl>
    <w:p>
      <w:pPr>
        <w:pBdr>
          <w:left w:val="single" w:color="0F7E81" w:sz="18" w:space="10"/>
        </w:pBdr>
        <w:spacing w:after="90" w:before="50" w:line="248"/>
        <w:ind w:left="160"/>
      </w:pPr>
      <w:r>
        <w:rPr>
          <w:rFonts w:ascii="Arial" w:cs="Arial" w:eastAsia="Arial" w:hAnsi="Arial"/>
          <w:b/>
          <w:bCs/>
          <w:color w:val="0F7E81"/>
          <w:sz w:val="20"/>
          <w:szCs w:val="20"/>
        </w:rPr>
        <w:t xml:space="preserve">Imobilizados — visão de rede: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além da contagem por loja, no consolidado da rede usa-se o % sobre a frota: ≤ 0,5% Verde, 0,5 – 1,0% Amarelo, &gt; 1,0% Vermelho — comparação justa entre lojas grandes e pequenas.</w:t>
      </w:r>
    </w:p>
    <w:p>
      <w:pPr>
        <w:pStyle w:val="Heading2"/>
        <w:keepNext/>
        <w:keepLines/>
        <w:spacing w:after="70" w:before="160"/>
      </w:pPr>
      <w:r>
        <w:rPr>
          <w:rFonts w:ascii="Arial" w:cs="Arial" w:eastAsia="Arial" w:hAnsi="Arial"/>
          <w:b/>
          <w:bCs/>
          <w:color w:val="0F7E81"/>
          <w:sz w:val="24"/>
          <w:szCs w:val="24"/>
        </w:rPr>
        <w:t xml:space="preserve">3.3 NPS, CCSI e detratores</w:t>
      </w:r>
    </w:p>
    <w:p>
      <w:pPr>
        <w:spacing w:after="70" w:line="252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NPS e CCSI são complementares: o NPS mede a propensão a recomendar, o CCSI mede a satisfação ao longo da jornada. Uma loja só está plenamente na meta de qualidade quando atinge os dois ao mesmo tempo. A pesquisa classifica os clientes em três grupos:</w:t>
      </w:r>
    </w:p>
    <w:p>
      <w:pPr>
        <w:pStyle w:val="ListParagraph"/>
        <w:numPr>
          <w:ilvl w:val="0"/>
          <w:numId w:val="2"/>
        </w:numPr>
        <w:spacing w:after="24" w:line="246"/>
      </w:pPr>
      <w:r>
        <w:rPr>
          <w:rFonts w:ascii="Arial" w:cs="Arial" w:eastAsia="Arial" w:hAnsi="Arial"/>
          <w:b/>
          <w:bCs/>
          <w:color w:val="15803D"/>
          <w:sz w:val="21"/>
          <w:szCs w:val="21"/>
        </w:rPr>
        <w:t xml:space="preserve">Promotor —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cliente satisfeito, com maior chance de recomendar.</w:t>
      </w:r>
    </w:p>
    <w:p>
      <w:pPr>
        <w:pStyle w:val="ListParagraph"/>
        <w:numPr>
          <w:ilvl w:val="0"/>
          <w:numId w:val="2"/>
        </w:numPr>
        <w:spacing w:after="24" w:line="246"/>
      </w:pPr>
      <w:r>
        <w:rPr>
          <w:rFonts w:ascii="Arial" w:cs="Arial" w:eastAsia="Arial" w:hAnsi="Arial"/>
          <w:b/>
          <w:bCs/>
          <w:color w:val="B45309"/>
          <w:sz w:val="21"/>
          <w:szCs w:val="21"/>
        </w:rPr>
        <w:t xml:space="preserve">Neutro —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avaliação intermediária.</w:t>
      </w:r>
    </w:p>
    <w:p>
      <w:pPr>
        <w:pStyle w:val="ListParagraph"/>
        <w:numPr>
          <w:ilvl w:val="0"/>
          <w:numId w:val="2"/>
        </w:numPr>
        <w:spacing w:after="24" w:line="246"/>
      </w:pPr>
      <w:r>
        <w:rPr>
          <w:rFonts w:ascii="Arial" w:cs="Arial" w:eastAsia="Arial" w:hAnsi="Arial"/>
          <w:b/>
          <w:bCs/>
          <w:color w:val="B91C1C"/>
          <w:sz w:val="21"/>
          <w:szCs w:val="21"/>
        </w:rPr>
        <w:t xml:space="preserve">Detrator —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cliente insatisfeito, que deu nota baixa.</w:t>
      </w:r>
    </w:p>
    <w:p>
      <w:pPr>
        <w:pBdr>
          <w:left w:val="single" w:color="0F7E81" w:sz="18" w:space="10"/>
        </w:pBdr>
        <w:spacing w:after="90" w:before="50" w:line="248"/>
        <w:ind w:left="160"/>
      </w:pPr>
      <w:r>
        <w:rPr>
          <w:rFonts w:ascii="Arial" w:cs="Arial" w:eastAsia="Arial" w:hAnsi="Arial"/>
          <w:b/>
          <w:bCs/>
          <w:color w:val="0F7E81"/>
          <w:sz w:val="20"/>
          <w:szCs w:val="20"/>
        </w:rPr>
        <w:t xml:space="preserve">Tratativa de detrator: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todo detrator deve ser tratado dentro do prazo definido pela área. Volume alto indica falha recorrente — analisar os comentários por categoria (atendimento, prazo, qualidade, peça, garantia, comunicação, entrega).</w:t>
      </w:r>
    </w:p>
    <w:p>
      <w:pPr>
        <w:pStyle w:val="Heading2"/>
        <w:keepNext/>
        <w:keepLines/>
        <w:spacing w:after="70" w:before="160"/>
      </w:pPr>
      <w:r>
        <w:rPr>
          <w:rFonts w:ascii="Arial" w:cs="Arial" w:eastAsia="Arial" w:hAnsi="Arial"/>
          <w:b/>
          <w:bCs/>
          <w:color w:val="0F7E81"/>
          <w:sz w:val="24"/>
          <w:szCs w:val="24"/>
        </w:rPr>
        <w:t xml:space="preserve">3.4 Outros indicadores acompanhados (fora do score)</w:t>
      </w:r>
    </w:p>
    <w:p>
      <w:pPr>
        <w:pStyle w:val="ListParagraph"/>
        <w:numPr>
          <w:ilvl w:val="0"/>
          <w:numId w:val="2"/>
        </w:numPr>
        <w:spacing w:after="24" w:line="246"/>
      </w:pPr>
      <w:r>
        <w:rPr>
          <w:rFonts w:ascii="Arial" w:cs="Arial" w:eastAsia="Arial" w:hAnsi="Arial"/>
          <w:b/>
          <w:bCs/>
          <w:color w:val="0F1F5C"/>
          <w:sz w:val="21"/>
          <w:szCs w:val="21"/>
        </w:rPr>
        <w:t xml:space="preserve">Treinamentos —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contratados, inscritos, treinados e não treinados. Meta mínima de 90% de conclusão. Em operação nova, pode bloquear a abertura.</w:t>
      </w:r>
    </w:p>
    <w:p>
      <w:pPr>
        <w:pStyle w:val="ListParagraph"/>
        <w:numPr>
          <w:ilvl w:val="0"/>
          <w:numId w:val="2"/>
        </w:numPr>
        <w:spacing w:after="24" w:line="246"/>
      </w:pPr>
      <w:r>
        <w:rPr>
          <w:rFonts w:ascii="Arial" w:cs="Arial" w:eastAsia="Arial" w:hAnsi="Arial"/>
          <w:b/>
          <w:bCs/>
          <w:color w:val="0F1F5C"/>
          <w:sz w:val="21"/>
          <w:szCs w:val="21"/>
        </w:rPr>
        <w:t xml:space="preserve">Abertura de Pós-venda —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avalia se a loja está apta a operar: quadro mínimo, treinamento, uniformes, computador, tablet, scanner Diag, ferramentas, compressor, linha de óleo, elevadores e rampa de geometria.</w:t>
      </w:r>
    </w:p>
    <w:p>
      <w:pPr>
        <w:pStyle w:val="Heading1"/>
        <w:keepNext/>
        <w:keepLines/>
        <w:spacing w:after="110" w:before="220"/>
      </w:pPr>
      <w:r>
        <w:rPr>
          <w:rFonts w:ascii="Arial" w:cs="Arial" w:eastAsia="Arial" w:hAnsi="Arial"/>
          <w:b/>
          <w:bCs/>
          <w:color w:val="0F1F5C"/>
          <w:sz w:val="30"/>
          <w:szCs w:val="30"/>
        </w:rPr>
        <w:t xml:space="preserve">4. O Fechamento Regional e o score</w:t>
      </w:r>
    </w:p>
    <w:p>
      <w:pPr>
        <w:spacing w:after="70" w:line="252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Todo mês a área consolida os indicadores de cada loja no Fechamento Regional. É dele que saem o score de cada concessionária, o ranking das regionais e os planos de ação. O score é uma média ponderada de nove indicadores, com os pesos abaixo: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500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Faturamento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24%</w:t>
            </w:r>
          </w:p>
        </w:tc>
      </w:tr>
      <w:tr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OS em aberto &gt; 30 dias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19%</w:t>
            </w:r>
          </w:p>
        </w:tc>
      </w:tr>
      <w:tr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NPS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14%</w:t>
            </w:r>
          </w:p>
        </w:tc>
      </w:tr>
      <w:tr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CCSI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14%</w:t>
            </w:r>
          </w:p>
        </w:tc>
      </w:tr>
      <w:tr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Imobilizados &gt; 30 dias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9%</w:t>
            </w:r>
          </w:p>
        </w:tc>
      </w:tr>
      <w:tr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Ocupação Técnica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Agendamento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Garantia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65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Campanhas e Recall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5%</w:t>
            </w:r>
          </w:p>
        </w:tc>
      </w:tr>
    </w:tbl>
    <w:p>
      <w:pPr>
        <w:pBdr>
          <w:left w:val="single" w:color="0F7E81" w:sz="18" w:space="10"/>
        </w:pBdr>
        <w:spacing w:after="90" w:before="50" w:line="248"/>
        <w:ind w:left="160"/>
      </w:pPr>
      <w:r>
        <w:rPr>
          <w:rFonts w:ascii="Arial" w:cs="Arial" w:eastAsia="Arial" w:hAnsi="Arial"/>
          <w:b/>
          <w:bCs/>
          <w:color w:val="0F7E81"/>
          <w:sz w:val="20"/>
          <w:szCs w:val="20"/>
        </w:rPr>
        <w:t xml:space="preserve">Lojas sem base: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quando uma loja não tem dados de um indicador, ele sai do cálculo e os pesos são redistribuídos, para não penalizar nem beneficiar a loja.</w:t>
      </w:r>
    </w:p>
    <w:p>
      <w:pPr>
        <w:spacing w:after="70" w:line="252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Cada loja recebe uma cor por indicador e uma contagem de faróis. O objetivo da área não é apontar culpados, e sim nivelar todas as lojas para o verde. Como referência, em maio/2026 a rede fechou com score </w:t>
      </w:r>
      <w:r>
        <w:rPr>
          <w:rFonts w:ascii="Arial" w:cs="Arial" w:eastAsia="Arial" w:hAnsi="Arial"/>
          <w:b/>
          <w:bCs/>
          <w:color w:val="0F1F5C"/>
          <w:sz w:val="21"/>
          <w:szCs w:val="21"/>
        </w:rPr>
        <w:t xml:space="preserve">60,9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e distribuição de </w:t>
      </w: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20 Verdes, 16 Amarelas e 17 Vermelhas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. As 53 lojas se dividem em 17 de acompanhamento semanal e 36 mensal.</w:t>
      </w:r>
    </w:p>
    <w:p>
      <w:pPr>
        <w:pStyle w:val="Heading2"/>
        <w:keepNext/>
        <w:keepLines/>
        <w:spacing w:after="70" w:before="160"/>
      </w:pPr>
      <w:r>
        <w:rPr>
          <w:rFonts w:ascii="Arial" w:cs="Arial" w:eastAsia="Arial" w:hAnsi="Arial"/>
          <w:b/>
          <w:bCs/>
          <w:color w:val="0F7E81"/>
          <w:sz w:val="24"/>
          <w:szCs w:val="24"/>
        </w:rPr>
        <w:t xml:space="preserve">O ciclo mensal</w:t>
      </w:r>
    </w:p>
    <w:p>
      <w:pPr>
        <w:pStyle w:val="ListParagraph"/>
        <w:numPr>
          <w:ilvl w:val="0"/>
          <w:numId w:val="3"/>
        </w:numPr>
        <w:spacing w:after="24" w:line="24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Preenche-se o arquivo de fechamento com as bases do mês.</w:t>
      </w:r>
    </w:p>
    <w:p>
      <w:pPr>
        <w:pStyle w:val="ListParagraph"/>
        <w:numPr>
          <w:ilvl w:val="0"/>
          <w:numId w:val="3"/>
        </w:numPr>
        <w:spacing w:after="24" w:line="24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Calculam-se score, faróis e ranking.</w:t>
      </w:r>
    </w:p>
    <w:p>
      <w:pPr>
        <w:pStyle w:val="ListParagraph"/>
        <w:numPr>
          <w:ilvl w:val="0"/>
          <w:numId w:val="3"/>
        </w:numPr>
        <w:spacing w:after="24" w:line="24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Gera-se um plano de ação por regional, focando as lojas críticas.</w:t>
      </w:r>
    </w:p>
    <w:p>
      <w:pPr>
        <w:pStyle w:val="ListParagraph"/>
        <w:numPr>
          <w:ilvl w:val="0"/>
          <w:numId w:val="3"/>
        </w:numPr>
        <w:spacing w:after="24" w:line="24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regionais preenchem o acompanhamento semanal (S1 a S4).</w:t>
      </w:r>
    </w:p>
    <w:p>
      <w:pPr>
        <w:pStyle w:val="ListParagraph"/>
        <w:numPr>
          <w:ilvl w:val="0"/>
          <w:numId w:val="3"/>
        </w:numPr>
        <w:spacing w:after="24" w:line="246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 fim do mês, os planos voltam ao fechamento e o ciclo recomeça.</w:t>
      </w:r>
    </w:p>
    <w:p>
      <w:pPr>
        <w:pStyle w:val="Heading1"/>
        <w:keepNext/>
        <w:keepLines/>
        <w:pageBreakBefore/>
        <w:spacing w:after="110" w:before="0"/>
      </w:pPr>
      <w:r>
        <w:rPr>
          <w:rFonts w:ascii="Arial" w:cs="Arial" w:eastAsia="Arial" w:hAnsi="Arial"/>
          <w:b/>
          <w:bCs/>
          <w:color w:val="0F1F5C"/>
          <w:sz w:val="30"/>
          <w:szCs w:val="30"/>
        </w:rPr>
        <w:t xml:space="preserve">5. Qualidade: o programa CCSE e os POPs</w:t>
      </w:r>
    </w:p>
    <w:p>
      <w:pPr>
        <w:spacing w:after="70" w:line="252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 </w:t>
      </w:r>
      <w:r>
        <w:rPr>
          <w:rFonts w:ascii="Arial" w:cs="Arial" w:eastAsia="Arial" w:hAnsi="Arial"/>
          <w:b/>
          <w:bCs/>
          <w:color w:val="0F1F5C"/>
          <w:sz w:val="21"/>
          <w:szCs w:val="21"/>
        </w:rPr>
        <w:t xml:space="preserve">CCSE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 é o programa de padronização do atendimento de Pós-venda. Ele organiza a jornada do cliente em etapas, e cada etapa tem um checklist oficial usado para medir a conformidade da loja (legenda Conforme / Não Conforme / Não Observado).</w:t>
      </w:r>
    </w:p>
    <w:p>
      <w:pPr>
        <w:pStyle w:val="Heading2"/>
        <w:keepNext/>
        <w:keepLines/>
        <w:spacing w:after="70" w:before="160"/>
      </w:pPr>
      <w:r>
        <w:rPr>
          <w:rFonts w:ascii="Arial" w:cs="Arial" w:eastAsia="Arial" w:hAnsi="Arial"/>
          <w:b/>
          <w:bCs/>
          <w:color w:val="0F7E81"/>
          <w:sz w:val="24"/>
          <w:szCs w:val="24"/>
        </w:rPr>
        <w:t xml:space="preserve">As etapas da jornada (checklists CCSE)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200"/>
        <w:gridCol w:w="3200"/>
        <w:gridCol w:w="4626"/>
      </w:tblGrid>
      <w:tr>
        <w:trPr>
          <w:tblHeader/>
        </w:trPr>
        <w:tc>
          <w:tcPr>
            <w:tcW w:type="dxa" w:w="1200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Sigla</w:t>
            </w:r>
          </w:p>
        </w:tc>
        <w:tc>
          <w:tcPr>
            <w:tcW w:type="dxa" w:w="3200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626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</w:tr>
      <w:tr>
        <w:tc>
          <w:tcPr>
            <w:tcW w:type="dxa" w:w="12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AGE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Agendamento</w:t>
            </w:r>
          </w:p>
        </w:tc>
        <w:tc>
          <w:tcPr>
            <w:tcW w:type="dxa" w:w="4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Colaborador dedicado, canais ativos, registro correto e checagem prévia de disponibilidade.</w:t>
            </w:r>
          </w:p>
        </w:tc>
      </w:tr>
      <w:tr>
        <w:tc>
          <w:tcPr>
            <w:tcW w:type="dxa" w:w="12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RCV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Recepção do Veículo</w:t>
            </w:r>
          </w:p>
        </w:tc>
        <w:tc>
          <w:tcPr>
            <w:tcW w:type="dxa" w:w="4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Capas de proteção, confirmação dos serviços e registro do estado do veículo.</w:t>
            </w:r>
          </w:p>
        </w:tc>
      </w:tr>
      <w:tr>
        <w:tc>
          <w:tcPr>
            <w:tcW w:type="dxa" w:w="12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AOS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Abertura de OS</w:t>
            </w:r>
            <w:r>
              <w:rPr>
                <w:rFonts w:ascii="Arial" w:cs="Arial" w:eastAsia="Arial" w:hAnsi="Arial"/>
                <w:i/>
                <w:iCs/>
                <w:color w:val="B45309"/>
                <w:sz w:val="15"/>
                <w:szCs w:val="15"/>
              </w:rPr>
              <w:t xml:space="preserve"> (confirmar)</w:t>
            </w:r>
          </w:p>
        </w:tc>
        <w:tc>
          <w:tcPr>
            <w:tcW w:type="dxa" w:w="4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Acolhimento, checklist de entrada, formalização e registro da OS.</w:t>
            </w:r>
          </w:p>
        </w:tc>
      </w:tr>
      <w:tr>
        <w:tc>
          <w:tcPr>
            <w:tcW w:type="dxa" w:w="12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ERM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Execução / Oficina</w:t>
            </w:r>
            <w:r>
              <w:rPr>
                <w:rFonts w:ascii="Arial" w:cs="Arial" w:eastAsia="Arial" w:hAnsi="Arial"/>
                <w:i/>
                <w:iCs/>
                <w:color w:val="B45309"/>
                <w:sz w:val="15"/>
                <w:szCs w:val="15"/>
              </w:rPr>
              <w:t xml:space="preserve"> (confirmar)</w:t>
            </w:r>
          </w:p>
        </w:tc>
        <w:tc>
          <w:tcPr>
            <w:tcW w:type="dxa" w:w="4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Quadro de progresso, ocupação real, fluxo de diagnóstico, garantia e peças.</w:t>
            </w:r>
          </w:p>
        </w:tc>
      </w:tr>
      <w:tr>
        <w:tc>
          <w:tcPr>
            <w:tcW w:type="dxa" w:w="12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CQ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Controle de Qualidade</w:t>
            </w:r>
          </w:p>
        </w:tc>
        <w:tc>
          <w:tcPr>
            <w:tcW w:type="dxa" w:w="4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Conferência do serviço executado antes da entrega.</w:t>
            </w:r>
          </w:p>
        </w:tc>
      </w:tr>
      <w:tr>
        <w:tc>
          <w:tcPr>
            <w:tcW w:type="dxa" w:w="12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EEV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Entrega do Veículo</w:t>
            </w:r>
            <w:r>
              <w:rPr>
                <w:rFonts w:ascii="Arial" w:cs="Arial" w:eastAsia="Arial" w:hAnsi="Arial"/>
                <w:i/>
                <w:iCs/>
                <w:color w:val="B45309"/>
                <w:sz w:val="15"/>
                <w:szCs w:val="15"/>
              </w:rPr>
              <w:t xml:space="preserve"> (confirmar)</w:t>
            </w:r>
          </w:p>
        </w:tc>
        <w:tc>
          <w:tcPr>
            <w:tcW w:type="dxa" w:w="4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Explicação do serviço, teste de rodagem e entrega organizada.</w:t>
            </w:r>
          </w:p>
        </w:tc>
      </w:tr>
      <w:tr>
        <w:tc>
          <w:tcPr>
            <w:tcW w:type="dxa" w:w="12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APS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Acompanhamento Pós-Serviço</w:t>
            </w:r>
          </w:p>
        </w:tc>
        <w:tc>
          <w:tcPr>
            <w:tcW w:type="dxa" w:w="4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Contato com o cliente, coleta de feedback, tratativa de insatisfação e acompanhamento do CCSI.</w:t>
            </w:r>
          </w:p>
        </w:tc>
      </w:tr>
    </w:tbl>
    <w:p>
      <w:pPr>
        <w:pStyle w:val="Heading2"/>
        <w:keepNext/>
        <w:keepLines/>
        <w:spacing w:after="70" w:before="160"/>
      </w:pPr>
      <w:r>
        <w:rPr>
          <w:rFonts w:ascii="Arial" w:cs="Arial" w:eastAsia="Arial" w:hAnsi="Arial"/>
          <w:b/>
          <w:bCs/>
          <w:color w:val="0F7E81"/>
          <w:sz w:val="24"/>
          <w:szCs w:val="24"/>
        </w:rPr>
        <w:t xml:space="preserve">Os POPs por função</w:t>
      </w:r>
    </w:p>
    <w:p>
      <w:pPr>
        <w:spacing w:after="70" w:line="252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Cada função-chave da concessionária tem um POP (Procedimento Operacional Padrão) escrito — uma régua objetiva do que deve ser feito. Há POPs de GPV, Consultor, Recepção, Agendamento, Chefe de Oficina, Técnico, Controlador de Quadro, Garantia e Peças, aplicados em visitas e auditorias para gerar uma nota objetiva por etapa.</w:t>
      </w:r>
    </w:p>
    <w:p>
      <w:pPr>
        <w:pStyle w:val="Heading1"/>
        <w:keepNext/>
        <w:keepLines/>
        <w:spacing w:after="110" w:before="220"/>
      </w:pPr>
      <w:r>
        <w:rPr>
          <w:rFonts w:ascii="Arial" w:cs="Arial" w:eastAsia="Arial" w:hAnsi="Arial"/>
          <w:b/>
          <w:bCs/>
          <w:color w:val="0F1F5C"/>
          <w:sz w:val="30"/>
          <w:szCs w:val="30"/>
        </w:rPr>
        <w:t xml:space="preserve">6. Onde encontrar cada informação</w:t>
      </w:r>
    </w:p>
    <w:p>
      <w:pPr>
        <w:spacing w:after="70" w:line="252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Saber onde buscar o dado é metade do trabalho. Este é o mapa das principais fontes.</w:t>
      </w:r>
    </w:p>
    <w:p>
      <w:pPr>
        <w:pStyle w:val="Heading2"/>
        <w:keepNext/>
        <w:keepLines/>
        <w:spacing w:after="70" w:before="160"/>
      </w:pPr>
      <w:r>
        <w:rPr>
          <w:rFonts w:ascii="Arial" w:cs="Arial" w:eastAsia="Arial" w:hAnsi="Arial"/>
          <w:b/>
          <w:bCs/>
          <w:color w:val="0F7E81"/>
          <w:sz w:val="24"/>
          <w:szCs w:val="24"/>
        </w:rPr>
        <w:t xml:space="preserve">Sistemas e plataformas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6426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Power BI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Análise consolidada: ranking, evolução regional e por loja, detratores, campanhas, treinamentos, abertura, OS, imobilizados e o fechamento mensal.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SharePoint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Armazenamento de bases, controles, arquivos de fechamento, extrações e histórico mensal/semanal.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DMS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Sistema de gestão da concessionária: OS, passagens, faturamento, agendamento e status de atendimento.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Portal de garantia (montadora)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Processos de garantia, aprovações e informações técnicas.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Portal da montadora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Campanhas, recall, treinamentos e comunicados.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Index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Plataforma de pesquisa de satisfação — NPS e CCSI (detratores, neutros e promotores).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Excel de controle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Apoio ao que ainda não é automatizado: controles semanais, planos de ação, abertura de lojas e consolidações.</w:t>
            </w:r>
          </w:p>
        </w:tc>
      </w:tr>
    </w:tbl>
    <w:p>
      <w:pPr>
        <w:pStyle w:val="Heading2"/>
        <w:keepNext/>
        <w:keepLines/>
        <w:spacing w:after="70" w:before="160"/>
      </w:pPr>
      <w:r>
        <w:rPr>
          <w:rFonts w:ascii="Arial" w:cs="Arial" w:eastAsia="Arial" w:hAnsi="Arial"/>
          <w:b/>
          <w:bCs/>
          <w:color w:val="0F7E81"/>
          <w:sz w:val="24"/>
          <w:szCs w:val="24"/>
        </w:rPr>
        <w:t xml:space="preserve">Bases e relatórios específicos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/ relatório</w:t>
            </w:r>
          </w:p>
        </w:tc>
        <w:tc>
          <w:tcPr>
            <w:tcW w:type="dxa" w:w="2400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4026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ROF001 — OS em aberto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DMS</w:t>
            </w:r>
          </w:p>
        </w:tc>
        <w:tc>
          <w:tcPr>
            <w:tcW w:type="dxa" w:w="4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Fila, aging, encerramento e concentração de OS.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O.S. Valor &gt; 30 dias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DMS</w:t>
            </w:r>
          </w:p>
        </w:tc>
        <w:tc>
          <w:tcPr>
            <w:tcW w:type="dxa" w:w="4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Valor financeiro travado em OS antigas.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Passagens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DMS / extração</w:t>
            </w:r>
          </w:p>
        </w:tc>
        <w:tc>
          <w:tcPr>
            <w:tcW w:type="dxa" w:w="4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Entradas de veículos — base do OS % e da capacidade.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Base de Imobilizados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Governança</w:t>
            </w:r>
          </w:p>
        </w:tc>
        <w:tc>
          <w:tcPr>
            <w:tcW w:type="dxa" w:w="4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Veículos parados &gt; 30 dias.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Ranking NPS / CCSI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Index</w:t>
            </w:r>
          </w:p>
        </w:tc>
        <w:tc>
          <w:tcPr>
            <w:tcW w:type="dxa" w:w="4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NPS, CCSI, respostas e detratores.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Base de Campanhas / Recall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Montadora</w:t>
            </w:r>
          </w:p>
        </w:tc>
        <w:tc>
          <w:tcPr>
            <w:tcW w:type="dxa" w:w="4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% de execução de campanhas e recalls.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Plan SAC / SAC consolidado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Montadora / SAC</w:t>
            </w:r>
          </w:p>
        </w:tc>
        <w:tc>
          <w:tcPr>
            <w:tcW w:type="dxa" w:w="4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Hot Cases, WAR ROOM e chassis reincidentes.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Helptech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Montadora</w:t>
            </w:r>
          </w:p>
        </w:tc>
        <w:tc>
          <w:tcPr>
            <w:tcW w:type="dxa" w:w="4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Qualidade do diagnóstico técnico enviado.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Notificações de Qualidade (NQ)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Montadora</w:t>
            </w:r>
          </w:p>
        </w:tc>
        <w:tc>
          <w:tcPr>
            <w:tcW w:type="dxa" w:w="4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Casos crônicos sem resolução pelo sistema.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Cadastro de Capacidade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Governança</w:t>
            </w:r>
          </w:p>
        </w:tc>
        <w:tc>
          <w:tcPr>
            <w:tcW w:type="dxa" w:w="4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Técnicos, elevadores e boxes por loja.</w:t>
            </w:r>
          </w:p>
        </w:tc>
      </w:tr>
    </w:tbl>
    <w:p>
      <w:pPr>
        <w:pStyle w:val="Heading1"/>
        <w:keepNext/>
        <w:keepLines/>
        <w:pageBreakBefore/>
        <w:spacing w:after="110" w:before="0"/>
      </w:pPr>
      <w:r>
        <w:rPr>
          <w:rFonts w:ascii="Arial" w:cs="Arial" w:eastAsia="Arial" w:hAnsi="Arial"/>
          <w:b/>
          <w:bCs/>
          <w:color w:val="0F1F5C"/>
          <w:sz w:val="30"/>
          <w:szCs w:val="30"/>
        </w:rPr>
        <w:t xml:space="preserve">7. Governança da rede</w:t>
      </w:r>
    </w:p>
    <w:p>
      <w:pPr>
        <w:spacing w:after="70" w:line="252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governança transforma os indicadores em ação: define quais lojas precisam de atenção, com que intensidade e em que ritmo.</w:t>
      </w:r>
    </w:p>
    <w:p>
      <w:pPr>
        <w:pStyle w:val="Heading2"/>
        <w:keepNext/>
        <w:keepLines/>
        <w:spacing w:after="70" w:before="160"/>
      </w:pPr>
      <w:r>
        <w:rPr>
          <w:rFonts w:ascii="Arial" w:cs="Arial" w:eastAsia="Arial" w:hAnsi="Arial"/>
          <w:b/>
          <w:bCs/>
          <w:color w:val="0F7E81"/>
          <w:sz w:val="24"/>
          <w:szCs w:val="24"/>
        </w:rPr>
        <w:t xml:space="preserve">ISI — Índice de Saturação</w:t>
      </w:r>
    </w:p>
    <w:p>
      <w:pPr>
        <w:spacing w:after="70" w:line="252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Mede o quanto a capacidade instalada de uma loja está sendo consumida pela demanda. É o termômetro que separa quem está confortável de quem está prestes a colapsar: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4513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Leitura</w:t>
            </w:r>
          </w:p>
        </w:tc>
      </w:tr>
      <w:tr>
        <w:tc>
          <w:tcPr>
            <w:tcW w:type="dxa" w:w="4513"/>
            <w:shd w:fill="DCFCE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Abaixo do limite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Operação saudável.</w:t>
            </w:r>
          </w:p>
        </w:tc>
      </w:tr>
      <w:tr>
        <w:tc>
          <w:tcPr>
            <w:tcW w:type="dxa" w:w="4513"/>
            <w:shd w:fill="FEF3C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Próximo do limite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Atenção preventiva.</w:t>
            </w:r>
          </w:p>
        </w:tc>
      </w:tr>
      <w:tr>
        <w:tc>
          <w:tcPr>
            <w:tcW w:type="dxa" w:w="4513"/>
            <w:shd w:fill="FEE2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Acima do limite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Saturação — prioridade alta.</w:t>
            </w:r>
          </w:p>
        </w:tc>
      </w:tr>
      <w:tr>
        <w:tc>
          <w:tcPr>
            <w:tcW w:type="dxa" w:w="4513"/>
            <w:shd w:fill="FEE2E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Saturação recorrente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Avaliar investimento em estrutura (CAPEX).</w:t>
            </w:r>
          </w:p>
        </w:tc>
      </w:tr>
    </w:tbl>
    <w:p>
      <w:pPr>
        <w:pStyle w:val="Heading2"/>
        <w:keepNext/>
        <w:keepLines/>
        <w:spacing w:after="70" w:before="160"/>
      </w:pPr>
      <w:r>
        <w:rPr>
          <w:rFonts w:ascii="Arial" w:cs="Arial" w:eastAsia="Arial" w:hAnsi="Arial"/>
          <w:b/>
          <w:bCs/>
          <w:color w:val="0F7E81"/>
          <w:sz w:val="24"/>
          <w:szCs w:val="24"/>
        </w:rPr>
        <w:t xml:space="preserve">Os dois comitês</w:t>
      </w:r>
    </w:p>
    <w:p>
      <w:pPr>
        <w:spacing w:after="70" w:line="252"/>
      </w:pPr>
      <w:r>
        <w:rPr>
          <w:rFonts w:ascii="Arial" w:cs="Arial" w:eastAsia="Arial" w:hAnsi="Arial"/>
          <w:b/>
          <w:bCs/>
          <w:color w:val="B91C1C"/>
          <w:sz w:val="21"/>
          <w:szCs w:val="21"/>
        </w:rPr>
        <w:t xml:space="preserve">Comitê de Crise —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lojas saturadas, com agenda longa e oficina lotada. Foco em ação emergencial e contenção imediata; é reativo.</w:t>
      </w:r>
    </w:p>
    <w:p>
      <w:pPr>
        <w:spacing w:after="70" w:line="252"/>
      </w:pPr>
      <w:r>
        <w:rPr>
          <w:rFonts w:ascii="Arial" w:cs="Arial" w:eastAsia="Arial" w:hAnsi="Arial"/>
          <w:b/>
          <w:bCs/>
          <w:color w:val="0F7E81"/>
          <w:sz w:val="21"/>
          <w:szCs w:val="21"/>
        </w:rPr>
        <w:t xml:space="preserve">Comitê de Planejamento —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lojas no limite da capacidade. Foco em prever a curva de demanda e antecipar a expansão antes do colapso; é preditivo.</w:t>
      </w:r>
    </w:p>
    <w:p>
      <w:pPr>
        <w:pStyle w:val="Heading2"/>
        <w:keepNext/>
        <w:keepLines/>
        <w:spacing w:after="70" w:before="160"/>
      </w:pPr>
      <w:r>
        <w:rPr>
          <w:rFonts w:ascii="Arial" w:cs="Arial" w:eastAsia="Arial" w:hAnsi="Arial"/>
          <w:b/>
          <w:bCs/>
          <w:color w:val="0F7E81"/>
          <w:sz w:val="24"/>
          <w:szCs w:val="24"/>
        </w:rPr>
        <w:t xml:space="preserve">Cadências de acompanhamento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2900"/>
        <w:gridCol w:w="3426"/>
      </w:tblGrid>
      <w:tr>
        <w:trPr>
          <w:tblHeader/>
        </w:trPr>
        <w:tc>
          <w:tcPr>
            <w:tcW w:type="dxa" w:w="2700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Cadência</w:t>
            </w:r>
          </w:p>
        </w:tc>
        <w:tc>
          <w:tcPr>
            <w:tcW w:type="dxa" w:w="2900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Quem participa</w:t>
            </w:r>
          </w:p>
        </w:tc>
        <w:tc>
          <w:tcPr>
            <w:tcW w:type="dxa" w:w="3426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Pauta</w:t>
            </w:r>
          </w:p>
        </w:tc>
      </w:tr>
      <w:tr>
        <w:tc>
          <w:tcPr>
            <w:tcW w:type="dxa" w:w="27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Diária (loja crítica)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Gerente + chefe de oficina + back-office</w:t>
            </w:r>
          </w:p>
        </w:tc>
        <w:tc>
          <w:tcPr>
            <w:tcW w:type="dxa" w:w="3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OS do dia, carros sem plano, Hot Cases, decisões pendentes.</w:t>
            </w:r>
          </w:p>
        </w:tc>
      </w:tr>
      <w:tr>
        <w:tc>
          <w:tcPr>
            <w:tcW w:type="dxa" w:w="27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Semanal (Comitê de Crise)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Diretoria + governança + loja crítica</w:t>
            </w:r>
          </w:p>
        </w:tc>
        <w:tc>
          <w:tcPr>
            <w:tcW w:type="dxa" w:w="3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Evolução dos indicadores, Top 3 ações, escalonamentos.</w:t>
            </w:r>
          </w:p>
        </w:tc>
      </w:tr>
      <w:tr>
        <w:tc>
          <w:tcPr>
            <w:tcW w:type="dxa" w:w="27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Quinzenal (Recuperação)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Governança + gerente da loja</w:t>
            </w:r>
          </w:p>
        </w:tc>
        <w:tc>
          <w:tcPr>
            <w:tcW w:type="dxa" w:w="3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Andamento do plano 5W2H, replanejamentos.</w:t>
            </w:r>
          </w:p>
        </w:tc>
      </w:tr>
      <w:tr>
        <w:tc>
          <w:tcPr>
            <w:tcW w:type="dxa" w:w="27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Mensal (Operação Saudável)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Governança + gerente</w:t>
            </w:r>
          </w:p>
        </w:tc>
        <w:tc>
          <w:tcPr>
            <w:tcW w:type="dxa" w:w="3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Indicadores padrão, CCSI/NPS, campanhas.</w:t>
            </w:r>
          </w:p>
        </w:tc>
      </w:tr>
      <w:tr>
        <w:tc>
          <w:tcPr>
            <w:tcW w:type="dxa" w:w="27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Trimestral (Matriz de Criticidade)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Diretoria + governança</w:t>
            </w:r>
          </w:p>
        </w:tc>
        <w:tc>
          <w:tcPr>
            <w:tcW w:type="dxa" w:w="3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Reclassificação de lojas e revisão de pesos.</w:t>
            </w:r>
          </w:p>
        </w:tc>
      </w:tr>
    </w:tbl>
    <w:p>
      <w:pPr>
        <w:pStyle w:val="Heading1"/>
        <w:keepNext/>
        <w:keepLines/>
        <w:spacing w:after="110" w:before="220"/>
      </w:pPr>
      <w:r>
        <w:rPr>
          <w:rFonts w:ascii="Arial" w:cs="Arial" w:eastAsia="Arial" w:hAnsi="Arial"/>
          <w:b/>
          <w:bCs/>
          <w:color w:val="0F1F5C"/>
          <w:sz w:val="30"/>
          <w:szCs w:val="30"/>
        </w:rPr>
        <w:t xml:space="preserve">8. Rotina do novo colaborador</w:t>
      </w:r>
    </w:p>
    <w:p>
      <w:pPr>
        <w:spacing w:after="70" w:line="252"/>
      </w:pPr>
      <w:r>
        <w:rPr>
          <w:rFonts w:ascii="Arial" w:cs="Arial" w:eastAsia="Arial" w:hAnsi="Arial"/>
          <w:b/>
          <w:bCs/>
          <w:color w:val="0F7E81"/>
          <w:sz w:val="21"/>
          <w:szCs w:val="21"/>
        </w:rPr>
        <w:t xml:space="preserve">No dia a dia: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verificar se as bases estão atualizadas, conferir os indicadores críticos, apoiar o levantamento de pendências, atualizar controles, identificar lojas com maior desvio e apoiar tratativas de detratores.</w:t>
      </w:r>
    </w:p>
    <w:p>
      <w:pPr>
        <w:spacing w:after="70" w:line="252"/>
      </w:pPr>
      <w:r>
        <w:rPr>
          <w:rFonts w:ascii="Arial" w:cs="Arial" w:eastAsia="Arial" w:hAnsi="Arial"/>
          <w:b/>
          <w:bCs/>
          <w:color w:val="0F7E81"/>
          <w:sz w:val="21"/>
          <w:szCs w:val="21"/>
        </w:rPr>
        <w:t xml:space="preserve">Toda semana: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atualizar controles de treinamento, abertura e ferramental, apoiar materiais executivos, verificar a evolução dos planos de ação, consolidar pendências por regional e apoiar a análise de lojas críticas.</w:t>
      </w:r>
    </w:p>
    <w:p>
      <w:pPr>
        <w:spacing w:after="70" w:line="252"/>
      </w:pPr>
      <w:r>
        <w:rPr>
          <w:rFonts w:ascii="Arial" w:cs="Arial" w:eastAsia="Arial" w:hAnsi="Arial"/>
          <w:b/>
          <w:bCs/>
          <w:color w:val="0F7E81"/>
          <w:sz w:val="21"/>
          <w:szCs w:val="21"/>
        </w:rPr>
        <w:t xml:space="preserve">Todo mês: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apoiar o fechamento regional, conferir as bases do mês, validar rankings e faróis, atualizar a evolução histórica, consolidar o plano de ação e preparar a leitura executiva para a gestão.</w:t>
      </w:r>
    </w:p>
    <w:p>
      <w:pPr>
        <w:pStyle w:val="Heading2"/>
        <w:keepNext/>
        <w:keepLines/>
        <w:spacing w:after="70" w:before="160"/>
      </w:pPr>
      <w:r>
        <w:rPr>
          <w:rFonts w:ascii="Arial" w:cs="Arial" w:eastAsia="Arial" w:hAnsi="Arial"/>
          <w:b/>
          <w:bCs/>
          <w:color w:val="0F7E81"/>
          <w:sz w:val="24"/>
          <w:szCs w:val="24"/>
        </w:rPr>
        <w:t xml:space="preserve">Como analisar uma concessionária</w:t>
      </w:r>
    </w:p>
    <w:p>
      <w:pPr>
        <w:spacing w:after="70" w:line="252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Nunca olhe um indicador isolado. Cruze: a loja está faturando bem? Tem muitas OS ou imobilizados acima de 30 dias? O cliente consegue agendar no prazo? A capacidade suporta a demanda? Está tratando detratores? NPS e CCSI estão na meta? Há campanhas/recalls pendentes? A equipe está treinada? Existe plano de ação com responsável e prazo?</w:t>
      </w:r>
    </w:p>
    <w:p>
      <w:pPr>
        <w:pStyle w:val="Heading1"/>
        <w:keepNext/>
        <w:keepLines/>
        <w:pageBreakBefore/>
        <w:spacing w:after="110" w:before="0"/>
      </w:pPr>
      <w:r>
        <w:rPr>
          <w:rFonts w:ascii="Arial" w:cs="Arial" w:eastAsia="Arial" w:hAnsi="Arial"/>
          <w:b/>
          <w:bCs/>
          <w:color w:val="0F1F5C"/>
          <w:sz w:val="30"/>
          <w:szCs w:val="30"/>
        </w:rPr>
        <w:t xml:space="preserve">9. Glossário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626"/>
            <w:shd w:fill="0F1F5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OS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Ordem de Serviço. Registra atendimento, diagnóstico, orçamento, serviço, peças e faturamento.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Passagens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Entradas de veículos na oficina no período. Base (denominador) do OS % e da capacidade.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Aging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Tempo em aberto ou parado, em dias. Usado para OS, imobilizados ou pendências.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Imobilizado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Veículo parado na loja aguardando solução (diagnóstico, peça, garantia, aprovação).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DIAG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Diagnóstico — etapa técnica de identificação do problema do veículo.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TMO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Tempo de Mão de Obra — tempo padrão previsto para a execução de um serviço.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AP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Aprovação Prévia — autorização da montadora para um reparo em garantia antes da execução.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BO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Backorder — peça em falta ou sem disponibilidade imediata.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Detrator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Cliente insatisfeito (nota baixa). Neutro = intermediário; Promotor = satisfeito.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NPS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Net Promoter Score — mede o quanto o cliente recomendaria a loja/marca.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CCSI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Índice de satisfação do cliente no Pós-venda ao longo da jornada.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CCSE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Programa de padronização do atendimento, organizado em etapas com checklists oficiais.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POP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Procedimento Operacional Padrão — descreve, por função, o que deve ser feito.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Recall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Campanha obrigatória de segurança, conformidade ou correção técnica.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Campanha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Ação técnica ou comercial de atualização, correção ou melhoria de veículos.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Garantia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Reparo, peça ou serviço solicitado à montadora conforme as regras de cobertura.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Helptech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Canal de suporte técnico à montadora; também mede a qualidade do diagnóstico enviado.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NQ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Notificação de Qualidade — registro de caso crônico junto à montadora.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SAC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Serviço de Atendimento ao Cliente; o Plan SAC consolida os casos da rede.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Hot Case / WAR ROOM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Casos críticos de cliente com tratativa prioritária e monitoramento.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Capacidade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Potencial de atendimento da oficina (técnicos, boxes, elevadores, jornada). ~4 veículos/dia por técnico.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ISI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Índice de Saturação — quanto da capacidade instalada está sendo consumida.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5W2H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Estrutura de plano de ação: o quê, por quê, onde, quando, quem, como e quanto.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NR10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Certificação de segurança em serviços com eletricidade.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Rede CAN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Rede de comunicação eletrônica entre os módulos do veículo.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Quadro mínimo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Composição mínima de mão de obra obrigatória para a loja operar.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F5C"/>
                <w:sz w:val="19"/>
                <w:szCs w:val="19"/>
              </w:rPr>
              <w:t xml:space="preserve">Código da loja</w:t>
            </w:r>
          </w:p>
        </w:tc>
        <w:tc>
          <w:tcPr>
            <w:tcW w:type="dxa" w:w="6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Identificador de 4 dígitos da concessionária, chave em todas as bases.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F1F5C"/>
          <w:sz w:val="24"/>
          <w:szCs w:val="24"/>
        </w:rPr>
        <w:t xml:space="preserve">Objetivo final da área</w:t>
      </w:r>
    </w:p>
    <w:p>
      <w:pPr>
        <w:spacing w:after="70" w:line="252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área de Governança, Performance e Melhoria Contínua de Pós-venda existe para transformar dados operacionais em ação prática — reduzindo gargalos, melhorando a experiência do cliente, aumentando a eficiência, diminuindo veículos parados e elevando os resultados de faturamento e satisfação.</w:t>
      </w:r>
    </w:p>
    <w:p>
      <w:pPr>
        <w:spacing w:after="70" w:line="252"/>
      </w:pPr>
      <w:r>
        <w:rPr>
          <w:rFonts w:ascii="Arial" w:cs="Arial" w:eastAsia="Arial" w:hAnsi="Arial"/>
          <w:b/>
          <w:bCs/>
          <w:color w:val="0F7E81"/>
          <w:sz w:val="22"/>
          <w:szCs w:val="22"/>
        </w:rPr>
        <w:t xml:space="preserve">Seja bem-vindo(a) ao time.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Use este guia sempre que precisar — ele é um documento vivo e será atualizado conforme a operação evolui.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Guia de Onboarding — Pós-venda · D21 / A21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Pág.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Arial" w:cs="Arial" w:eastAsia="Arial" w:hAnsi="Arial"/>
      <w:b/>
      <w:bCs/>
      <w:color w:val="0F1F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Arial" w:cs="Arial" w:eastAsia="Arial" w:hAnsi="Arial"/>
      <w:b/>
      <w:bCs/>
      <w:color w:val="0F7E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2026-06-19T18:47:06.527Z</dcterms:created>
  <dcterms:modified xsi:type="dcterms:W3CDTF">2026-06-19T18:47:06.528Z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