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20"/>
        <w:jc w:val="center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SIALOCK</w:t>
      </w:r>
    </w:p>
    <w:p>
      <w:pPr>
        <w:pStyle w:val="Normal"/>
        <w:spacing w:before="0" w:after="200"/>
        <w:jc w:val="center"/>
        <w:rPr>
          <w:rFonts w:ascii="Arial" w:hAnsi="Arial"/>
          <w:color w:val="000000"/>
        </w:rPr>
      </w:pPr>
      <w:r>
        <w:rPr>
          <w:rFonts w:ascii="Arial" w:hAnsi="Arial"/>
          <w:b/>
          <w:bCs/>
          <w:i w:val="false"/>
          <w:iCs w:val="false"/>
          <w:color w:val="000000"/>
          <w:sz w:val="26"/>
          <w:szCs w:val="26"/>
        </w:rPr>
        <w:t>T24 — GRUPO 3</w:t>
      </w:r>
    </w:p>
    <w:p>
      <w:pPr>
        <w:pStyle w:val="Normal"/>
        <w:spacing w:before="0" w:after="60"/>
        <w:jc w:val="center"/>
        <w:rPr>
          <w:rFonts w:ascii="Arial" w:hAnsi="Arial"/>
          <w:color w:val="000000"/>
        </w:rPr>
      </w:pPr>
      <w:r>
        <w:rPr>
          <w:rFonts w:ascii="Arial" w:hAnsi="Arial"/>
          <w:b/>
          <w:bCs/>
          <w:i w:val="false"/>
          <w:iCs w:val="false"/>
          <w:color w:val="000000"/>
          <w:sz w:val="22"/>
          <w:szCs w:val="22"/>
        </w:rPr>
        <w:t>Documentação Técnica Completa e Relatório Metodológico</w:t>
      </w:r>
    </w:p>
    <w:p>
      <w:pPr>
        <w:pStyle w:val="Normal"/>
        <w:spacing w:before="0" w:after="60"/>
        <w:jc w:val="center"/>
        <w:rPr>
          <w:rFonts w:ascii="Arial" w:hAnsi="Arial"/>
          <w:color w:val="000000"/>
        </w:rPr>
      </w:pPr>
      <w:r>
        <w:rPr>
          <w:rFonts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Sistema de Inteligência, Reconciliação, Análise de Risco e Predição de CNPJ</w:t>
      </w:r>
    </w:p>
    <w:p>
      <w:pPr>
        <w:pStyle w:val="Normal"/>
        <w:spacing w:before="0" w:after="300"/>
        <w:jc w:val="center"/>
        <w:rPr>
          <w:rFonts w:ascii="Arial" w:hAnsi="Arial"/>
          <w:color w:val="000000"/>
        </w:rPr>
      </w:pPr>
      <w:r>
        <w:rPr>
          <w:rFonts w:ascii="Arial" w:hAnsi="Arial"/>
          <w:b w:val="false"/>
          <w:bCs w:val="false"/>
          <w:i/>
          <w:iCs/>
          <w:color w:val="000000"/>
          <w:sz w:val="22"/>
          <w:szCs w:val="22"/>
        </w:rPr>
        <w:t>(Versão V.3.3 — Gate 3 / Processamento Incremental em Lotes)</w:t>
      </w:r>
    </w:p>
    <w:p>
      <w:pPr>
        <w:pStyle w:val="Heading1"/>
        <w:pBdr>
          <w:bottom w:val="single" w:sz="6" w:space="4" w:color="1F4E79"/>
        </w:pBdr>
        <w:spacing w:before="360" w:after="16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1. COMPONENTE 2: RELATÓRIO DE DESENVOLVIMENTO DA METODOLOGIA</w:t>
      </w:r>
    </w:p>
    <w:p>
      <w:pPr>
        <w:pStyle w:val="Heading2"/>
        <w:spacing w:before="280" w:after="12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1.1 Introdução e Contexto do Desafio</w:t>
      </w:r>
    </w:p>
    <w:p>
      <w:pPr>
        <w:pStyle w:val="Normal"/>
        <w:spacing w:lineRule="exact" w:line="276" w:before="0" w:after="16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O SIALOCK é um sistema de inteligência de dados projetado para resolver a reconciliação e reidentificação de entidades empresariais no comércio exterior brasileiro [cite: 5]. Na etapa do Gate 3 (Versão V.3.3), a arquitetura foi aprimorada para processar de maneira eficiente e incremental grandes volumes de dados (23+ milhões de registros das Bases 2 e 3 da Receita Federal do Brasil - RFB), mantendo isolamento absoluto entre as bases e tolerância total a falhas [cite: 2, 6].</w:t>
      </w:r>
    </w:p>
    <w:p>
      <w:pPr>
        <w:pStyle w:val="Heading2"/>
        <w:spacing w:before="280" w:after="12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1.2 Regras de Preenchimento e Validação dos Palpites (Componente 1)</w:t>
      </w:r>
    </w:p>
    <w:p>
      <w:pPr>
        <w:pStyle w:val="Normal"/>
        <w:spacing w:lineRule="exact" w:line="276" w:before="0" w:after="16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O pipeline do SIALOCK garante o cumprimento estrito de todas as regras do Regulamento Oficial (Item 7.3) [cite: 6]:</w:t>
      </w:r>
    </w:p>
    <w:p>
      <w:pPr>
        <w:pStyle w:val="ListParagraph"/>
        <w:numPr>
          <w:ilvl w:val="0"/>
          <w:numId w:val="4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Limite de Palpites:</w:t>
      </w:r>
      <w:r>
        <w:rPr>
          <w:rFonts w:ascii="Arial" w:hAnsi="Arial"/>
          <w:color w:val="000000"/>
        </w:rPr>
        <w:t xml:space="preserve"> Apenas os 50 melhores palpites por base foram selecionados para compor as entregas finais (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ENTREGA_base2.xlsx</w:t>
      </w:r>
      <w:r>
        <w:rPr>
          <w:rFonts w:ascii="Arial" w:hAnsi="Arial"/>
          <w:color w:val="000000"/>
        </w:rPr>
        <w:t xml:space="preserve"> e 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ENTREGA_base3.xlsx</w:t>
      </w:r>
      <w:r>
        <w:rPr>
          <w:rFonts w:ascii="Arial" w:hAnsi="Arial"/>
          <w:color w:val="000000"/>
        </w:rPr>
        <w:t>) [cite: 2, 6].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Formatação de CNPJ:</w:t>
      </w:r>
      <w:r>
        <w:rPr>
          <w:rFonts w:ascii="Arial" w:hAnsi="Arial"/>
          <w:color w:val="000000"/>
        </w:rPr>
        <w:t xml:space="preserve"> Todos os CNPJs foram normalizados para exatamente 14 dígitos numéricos (sem traços, pontos ou caracteres especiais) [cite: 2, 6].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Unicidade de CNPJ:</w:t>
      </w:r>
      <w:r>
        <w:rPr>
          <w:rFonts w:ascii="Arial" w:hAnsi="Arial"/>
          <w:color w:val="000000"/>
        </w:rPr>
        <w:t xml:space="preserve"> O sistema aplica um filtro estrito para impedir a indicação repetida de um mesmo CNPJ dentro da mesma base e entre as bases distintas (Bases 1, 2 e 3) [cite: 6].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Validação Algorítmica:</w:t>
      </w:r>
      <w:r>
        <w:rPr>
          <w:rFonts w:ascii="Arial" w:hAnsi="Arial"/>
          <w:color w:val="000000"/>
        </w:rPr>
        <w:t xml:space="preserve"> Validação oficial dos dígitos verificadores (DV1 e DV2) do CNPJ antes da inclusão nos palpites finais [cite: 2].</w:t>
      </w:r>
    </w:p>
    <w:p>
      <w:pPr>
        <w:pStyle w:val="Heading2"/>
        <w:spacing w:before="280" w:after="12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1.3 Arquitetura de Processamento Incremental (Gate 3 — V.3.3)</w:t>
      </w:r>
    </w:p>
    <w:p>
      <w:pPr>
        <w:pStyle w:val="Normal"/>
        <w:spacing w:lineRule="exact" w:line="276" w:before="0" w:after="10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Para viabilizar o processamento de mais de 23 milhões de linhas em qualquer infraestrutura sem estouro de memória RAM, o SIALOCK foi estruturado em lotes (</w:t>
      </w:r>
      <w:r>
        <w:rPr>
          <w:rFonts w:ascii="Arial" w:hAnsi="Arial"/>
          <w:i/>
          <w:iCs/>
          <w:color w:val="000000"/>
        </w:rPr>
        <w:t>batches</w:t>
      </w:r>
      <w:r>
        <w:rPr>
          <w:rFonts w:ascii="Arial" w:hAnsi="Arial"/>
          <w:color w:val="000000"/>
        </w:rPr>
        <w:t>) [cite: 2, 6]: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120" w:after="240"/>
        <w:ind w:left="200" w:right="200"/>
        <w:rPr>
          <w:rFonts w:ascii="Arial" w:hAnsi="Arial"/>
          <w:color w:val="000000"/>
        </w:rPr>
      </w:pPr>
      <w:r>
        <w:rPr>
          <w:rFonts w:eastAsia="Consolas" w:cs="Consolas" w:ascii="Arial" w:hAnsi="Arial"/>
          <w:color w:val="000000"/>
          <w:sz w:val="18"/>
          <w:szCs w:val="18"/>
        </w:rPr>
        <w:t>┌─────────────────────┐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  ENTRADA POR BASE 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  (base2 / base3)  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└──────────┬───────────┘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     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       ▼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┌─────────────────────┐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 STREAMING &amp; CHUNKS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(Module rapidez.py)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└──────────┬───────────┘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     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       ▼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┌─────────────────────┐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PREPROCESSAMENTO &amp; 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   BUSINESS KPIs   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└──────────┬───────────┘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     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       ▼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┌─────────────────────┐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 GATE3 ENSEMBLE ML 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+ Partial Fit (SGD)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└──────────┬───────────┘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     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       ▼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┌─────────────────────┐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VALIDATION &amp; SCORE 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(Dígitos, Confiança)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└──────────┬───────────┘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     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 ┌─────┴──────┐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 │           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 ▼             ▼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┌───────────────┐ ┌────────────────────┐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PALPITES LOTE │ │   ENTREGA FINAL   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palpiteN.xlsx │ │ ENTREGA_base.xlsx   │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└───────────────┘ └────────────────────┘</w:t>
      </w:r>
    </w:p>
    <w:p>
      <w:pPr>
        <w:pStyle w:val="Heading2"/>
        <w:spacing w:before="280" w:after="12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1.4 Módulo de Otimização de Recursos (rapidez.py)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Ajuste Dinâmico de Lotes (</w:t>
      </w:r>
      <w:r>
        <w:rPr>
          <w:rFonts w:ascii="Arial" w:hAnsi="Arial"/>
          <w:b/>
          <w:bCs/>
          <w:i/>
          <w:iCs/>
          <w:color w:val="000000"/>
        </w:rPr>
        <w:t>Batch Size</w:t>
      </w:r>
      <w:r>
        <w:rPr>
          <w:rFonts w:ascii="Arial" w:hAnsi="Arial"/>
          <w:b/>
          <w:bCs/>
          <w:color w:val="000000"/>
        </w:rPr>
        <w:t>):</w:t>
      </w:r>
      <w:r>
        <w:rPr>
          <w:rFonts w:ascii="Arial" w:hAnsi="Arial"/>
          <w:color w:val="000000"/>
        </w:rPr>
        <w:t xml:space="preserve"> O sistema monitora o consumo de RAM via 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psutil</w:t>
      </w:r>
      <w:r>
        <w:rPr>
          <w:rFonts w:ascii="Arial" w:hAnsi="Arial"/>
          <w:color w:val="000000"/>
        </w:rPr>
        <w:t xml:space="preserve"> e adapta dinamicamente o tamanho do lote para evitar degradação de desempenho.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Redução de Memória (</w:t>
      </w:r>
      <w:r>
        <w:rPr>
          <w:rFonts w:ascii="Arial" w:hAnsi="Arial"/>
          <w:b/>
          <w:bCs/>
          <w:i/>
          <w:iCs/>
          <w:color w:val="000000"/>
        </w:rPr>
        <w:t>Downcasting</w:t>
      </w:r>
      <w:r>
        <w:rPr>
          <w:rFonts w:ascii="Arial" w:hAnsi="Arial"/>
          <w:b/>
          <w:bCs/>
          <w:color w:val="000000"/>
        </w:rPr>
        <w:t>):</w:t>
      </w:r>
      <w:r>
        <w:rPr>
          <w:rFonts w:ascii="Arial" w:hAnsi="Arial"/>
          <w:color w:val="000000"/>
        </w:rPr>
        <w:t xml:space="preserve"> Tipos numéricos e categóricos do Pandas são convertidos para representações de menor pegada em memória [cite: 3].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Execução Paralela:</w:t>
      </w:r>
      <w:r>
        <w:rPr>
          <w:rFonts w:ascii="Arial" w:hAnsi="Arial"/>
          <w:color w:val="000000"/>
        </w:rPr>
        <w:t xml:space="preserve"> Uso de </w:t>
      </w:r>
      <w:r>
        <w:rPr>
          <w:rFonts w:ascii="Arial" w:hAnsi="Arial"/>
          <w:i/>
          <w:iCs/>
          <w:color w:val="000000"/>
        </w:rPr>
        <w:t>pools</w:t>
      </w:r>
      <w:r>
        <w:rPr>
          <w:rFonts w:ascii="Arial" w:hAnsi="Arial"/>
          <w:color w:val="000000"/>
        </w:rPr>
        <w:t xml:space="preserve"> de processos e </w:t>
      </w:r>
      <w:r>
        <w:rPr>
          <w:rFonts w:ascii="Arial" w:hAnsi="Arial"/>
          <w:i/>
          <w:iCs/>
          <w:color w:val="000000"/>
        </w:rPr>
        <w:t>threads</w:t>
      </w:r>
      <w:r>
        <w:rPr>
          <w:rFonts w:ascii="Arial" w:hAnsi="Arial"/>
          <w:color w:val="000000"/>
        </w:rPr>
        <w:t xml:space="preserve"> com desativação automática em ambientes de baixa capacidade [cite: 3].</w:t>
      </w:r>
    </w:p>
    <w:p>
      <w:pPr>
        <w:pStyle w:val="Heading2"/>
        <w:spacing w:before="280" w:after="12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1.5 Mecanismo de Recuperação e Tolerância a Falhas (Checkpointing)</w:t>
      </w:r>
    </w:p>
    <w:p>
      <w:pPr>
        <w:pStyle w:val="Normal"/>
        <w:spacing w:lineRule="exact" w:line="276" w:before="0" w:after="16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O progresso da execução de cada base é registrado em tempo real no arquivo 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progresso.json</w:t>
      </w:r>
      <w:r>
        <w:rPr>
          <w:rFonts w:ascii="Arial" w:hAnsi="Arial"/>
          <w:color w:val="000000"/>
        </w:rPr>
        <w:t xml:space="preserve"> [cite: 2]. Em caso de desconexão ou interrupção, a reexecução retoma a leitura exatamente do último lote processado, sem duplicação de processamento ou contaminação dos dados [cite: 2].</w:t>
      </w:r>
    </w:p>
    <w:p>
      <w:pPr>
        <w:pStyle w:val="Heading2"/>
        <w:spacing w:before="280" w:after="12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1.6 Fontes Externas e Economia de Requisições</w:t>
      </w:r>
    </w:p>
    <w:p>
      <w:pPr>
        <w:pStyle w:val="Normal"/>
        <w:spacing w:lineRule="exact" w:line="276" w:before="0" w:after="16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O SIALOCK faz uso exclusivo de fontes públicas e legais (BrasilAPI, Minha Receita, ReceitaWS, CNPJWS) [cite: 1, 5, 6]. Para cumprir o critério de </w:t>
      </w:r>
      <w:r>
        <w:rPr>
          <w:rFonts w:ascii="Arial" w:hAnsi="Arial"/>
          <w:b/>
          <w:bCs/>
          <w:color w:val="000000"/>
        </w:rPr>
        <w:t>Economia de Fontes</w:t>
      </w:r>
      <w:r>
        <w:rPr>
          <w:rFonts w:ascii="Arial" w:hAnsi="Arial"/>
          <w:color w:val="000000"/>
        </w:rPr>
        <w:t xml:space="preserve"> (Critério Secundário 4) [cite: 6]: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Os resultados das consultas são armazenados em um cache local unificado (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./cache_externo/cnpj_cache.parquet</w:t>
      </w:r>
      <w:r>
        <w:rPr>
          <w:rFonts w:ascii="Arial" w:hAnsi="Arial"/>
          <w:color w:val="000000"/>
        </w:rPr>
        <w:t>) [cite: 1, 5].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Consultas subsequentes leem primeiro o cache em disco, zerando requisições repetidas de rede e garantindo estabilidade no processamento [cite: 1, 5].</w:t>
      </w:r>
    </w:p>
    <w:p>
      <w:pPr>
        <w:pStyle w:val="Heading1"/>
        <w:pBdr>
          <w:bottom w:val="single" w:sz="6" w:space="4" w:color="1F4E79"/>
        </w:pBdr>
        <w:spacing w:before="360" w:after="16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2. COMPONENTE 3: PLANO DE MITIGAÇÃO DE RISCO DE EXPOSIÇÃO E SEGURANÇA DOS DADOS</w:t>
      </w:r>
    </w:p>
    <w:p>
      <w:pPr>
        <w:pStyle w:val="Heading2"/>
        <w:spacing w:before="280" w:after="12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2.1 Diagnóstico de Vulnerabilidade e Risco de Reidentificação</w:t>
      </w:r>
    </w:p>
    <w:p>
      <w:pPr>
        <w:pStyle w:val="Normal"/>
        <w:spacing w:lineRule="exact" w:line="276" w:before="0" w:after="16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 partir dos testes de reidentificação conduzidos no Exercício Técnico, o SIALOCK identificou que a combinação de campos granulares (como NCM/HS-Code, país de origem, peso líquido e valor das operações VMLE em dólar) pode criar "assinaturas operacionais únicas", permitindo inferir o CNPJ responsável mesmo na ausência do nome da empresa [cite: 5, 6].</w:t>
      </w:r>
    </w:p>
    <w:p>
      <w:pPr>
        <w:pStyle w:val="Heading2"/>
        <w:spacing w:before="280" w:after="12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2.2 Proposta de Mitigação</w:t>
      </w:r>
    </w:p>
    <w:p>
      <w:pPr>
        <w:pStyle w:val="Normal"/>
        <w:spacing w:lineRule="exact" w:line="276" w:before="0" w:after="16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Para mitigar o risco de exposição mantendo a utilidade analítica das bases para defesa comercial, propõe-se uma estratégia baseada em três pilares [cite: 6]:</w:t>
      </w:r>
    </w:p>
    <w:p>
      <w:pPr>
        <w:pStyle w:val="ListParagraph"/>
        <w:numPr>
          <w:ilvl w:val="0"/>
          <w:numId w:val="5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Generalização Hierárquica de NCM/HS-Code:</w:t>
      </w:r>
      <w:r>
        <w:rPr>
          <w:rFonts w:ascii="Arial" w:hAnsi="Arial"/>
          <w:color w:val="000000"/>
        </w:rPr>
        <w:t xml:space="preserve"> Agrupar os códigos NCM nos níveis de posição (4 dígitos) ou subposição (6 dígitos) para operações de alto risco de reidentificação.</w:t>
      </w:r>
    </w:p>
    <w:p>
      <w:pPr>
        <w:pStyle w:val="ListParagraph"/>
        <w:numPr>
          <w:ilvl w:val="0"/>
          <w:numId w:val="2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Microagregação e Adição de Ruído Controlado (Laplace/Gaussiano):</w:t>
      </w:r>
      <w:r>
        <w:rPr>
          <w:rFonts w:ascii="Arial" w:hAnsi="Arial"/>
          <w:color w:val="000000"/>
        </w:rPr>
        <w:t xml:space="preserve"> Aplicação de ruído estatístico de valor insignificante aos campos contínuos (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peso_liquido</w:t>
      </w:r>
      <w:r>
        <w:rPr>
          <w:rFonts w:ascii="Arial" w:hAnsi="Arial"/>
          <w:color w:val="000000"/>
        </w:rPr>
        <w:t xml:space="preserve"> e 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vmle_dolar</w:t>
      </w:r>
      <w:r>
        <w:rPr>
          <w:rFonts w:ascii="Arial" w:hAnsi="Arial"/>
          <w:color w:val="000000"/>
        </w:rPr>
        <w:t>), eliminando valores exatos que coincidam com registros de notas fiscais ou manifesto de carga.</w:t>
      </w:r>
    </w:p>
    <w:p>
      <w:pPr>
        <w:pStyle w:val="ListParagraph"/>
        <w:numPr>
          <w:ilvl w:val="0"/>
          <w:numId w:val="2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Mapeamento de K-Anonymity Dinâmico:</w:t>
      </w:r>
      <w:r>
        <w:rPr>
          <w:rFonts w:ascii="Arial" w:hAnsi="Arial"/>
          <w:color w:val="000000"/>
        </w:rPr>
        <w:t xml:space="preserve"> Garantir que qualquer combinação de variáveis de uma operação seja compartilhada por pelo menos </w:t>
      </w:r>
      <w:r>
        <w:rPr>
          <w:rFonts w:ascii="Arial" w:hAnsi="Arial"/>
          <w:i/>
          <w:iCs/>
          <w:color w:val="000000"/>
        </w:rPr>
        <w:t>K</w:t>
      </w:r>
      <w:r>
        <w:rPr>
          <w:rFonts w:ascii="Arial" w:hAnsi="Arial"/>
          <w:color w:val="000000"/>
        </w:rPr>
        <w:t xml:space="preserve"> empresas na base tratada antes da disponibilização pública.</w:t>
      </w:r>
    </w:p>
    <w:p>
      <w:pPr>
        <w:pStyle w:val="Heading2"/>
        <w:spacing w:before="280" w:after="12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2.3 Avaliação do Impacto na Utilidade Analítica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Análises Mantidas (Utilidade Preservada):</w:t>
      </w:r>
      <w:r>
        <w:rPr>
          <w:rFonts w:ascii="Arial" w:hAnsi="Arial"/>
          <w:color w:val="000000"/>
        </w:rPr>
        <w:t xml:space="preserve"> Estudos setoriais de defesa comercial, acompanhamento de volume por país de origem e tendências agregadas por capítulo/posição do NCM permanecem totalmente viáveis [cite: 6].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Limitações Introduzidas:</w:t>
      </w:r>
      <w:r>
        <w:rPr>
          <w:rFonts w:ascii="Arial" w:hAnsi="Arial"/>
          <w:color w:val="000000"/>
        </w:rPr>
        <w:t xml:space="preserve"> Impossibilidade de auditoria pontual de transações individuais de uma única empresa, exatamente o objetivo exigido para a proteção do sigilo fiscal (Portaria RFB nº 100/2021) [cite: 6].</w:t>
      </w:r>
    </w:p>
    <w:p>
      <w:pPr>
        <w:pStyle w:val="Heading2"/>
        <w:spacing w:before="280" w:after="12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2.4 Nível de Maturidade da Proposta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Nível 2 — Protótipo Validado em Amostra:</w:t>
      </w:r>
      <w:r>
        <w:rPr>
          <w:rFonts w:ascii="Arial" w:hAnsi="Arial"/>
          <w:color w:val="000000"/>
        </w:rPr>
        <w:t xml:space="preserve"> A solução de mitigação possui rotinas implementadas e testadas sobre as amostras do Exercício (calculando 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RiskScore</w:t>
      </w:r>
      <w:r>
        <w:rPr>
          <w:rFonts w:ascii="Arial" w:hAnsi="Arial"/>
          <w:color w:val="000000"/>
        </w:rPr>
        <w:t xml:space="preserve"> e 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KPI_Outlier</w:t>
      </w:r>
      <w:r>
        <w:rPr>
          <w:rFonts w:ascii="Arial" w:hAnsi="Arial"/>
          <w:color w:val="000000"/>
        </w:rPr>
        <w:t xml:space="preserve"> para identificar a vulnerabilidade e validar a redução do risco) [cite: 1, 2, 6].</w:t>
      </w:r>
    </w:p>
    <w:p>
      <w:pPr>
        <w:pStyle w:val="Heading1"/>
        <w:pBdr>
          <w:bottom w:val="single" w:sz="6" w:space="4" w:color="1F4E79"/>
        </w:pBdr>
        <w:spacing w:before="360" w:after="16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3. ESTRUTURA DE DIRETÓRIOS E ENTREGA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120" w:after="240"/>
        <w:ind w:left="200" w:right="200"/>
        <w:rPr>
          <w:rFonts w:ascii="Arial" w:hAnsi="Arial"/>
          <w:color w:val="000000"/>
        </w:rPr>
      </w:pPr>
      <w:r>
        <w:rPr>
          <w:rFonts w:eastAsia="Consolas" w:cs="Consolas" w:ascii="Arial" w:hAnsi="Arial"/>
          <w:color w:val="000000"/>
          <w:sz w:val="18"/>
          <w:szCs w:val="18"/>
        </w:rPr>
        <w:t>gate3/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├── extract_v.3.3.py        # Script principal da pipeline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├── rapidez.py               # Módulo de otimização de memória e performance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├── base2/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  ├── entrada/             # Base 2 bruta de entrada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  ├── palpite/             # Arquivos de palpites por lote (palpite0.xlsx, ...)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  ├── modelos/             # Modelo persistido (modelo_gate3_base2.joblib)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  ├── progresso.json       # Checkpoint de recuperação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│   └── ENTREGA_base2.xlsx   # Planilha de submissão da Base 2 (Componente 1)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>└── base3/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├── entrada/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├── palpite/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├── modelos/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├── progresso.json</w:t>
      </w:r>
      <w:r>
        <w:rPr>
          <w:rFonts w:ascii="Arial" w:hAnsi="Arial"/>
          <w:color w:val="000000"/>
        </w:rPr>
        <w:br/>
      </w:r>
      <w:r>
        <w:rPr>
          <w:rFonts w:eastAsia="Consolas" w:cs="Consolas" w:ascii="Arial" w:hAnsi="Arial"/>
          <w:color w:val="000000"/>
          <w:sz w:val="18"/>
          <w:szCs w:val="18"/>
        </w:rPr>
        <w:t xml:space="preserve">    └── ENTREGA_base3.xlsx   # Planilha de submissão da Base 3 (Componente 1)</w:t>
      </w:r>
    </w:p>
    <w:p>
      <w:pPr>
        <w:pStyle w:val="Heading1"/>
        <w:pBdr>
          <w:bottom w:val="single" w:sz="6" w:space="4" w:color="1F4E79"/>
        </w:pBdr>
        <w:spacing w:before="360" w:after="16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4. TECNOLOGIAS E DEPENDÊNCIAS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Linguagem:</w:t>
      </w:r>
      <w:r>
        <w:rPr>
          <w:rFonts w:ascii="Arial" w:hAnsi="Arial"/>
          <w:color w:val="000000"/>
        </w:rPr>
        <w:t xml:space="preserve"> Python 3.10+ [cite: 3]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Processamento &amp; ML:</w:t>
      </w:r>
      <w:r>
        <w:rPr>
          <w:rFonts w:ascii="Arial" w:hAnsi="Arial"/>
          <w:color w:val="000000"/>
        </w:rPr>
        <w:t xml:space="preserve"> Pandas, NumPy, Scikit-Learn (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SGDClassifier</w:t>
      </w:r>
      <w:r>
        <w:rPr>
          <w:rFonts w:ascii="Arial" w:hAnsi="Arial"/>
          <w:color w:val="000000"/>
        </w:rPr>
        <w:t xml:space="preserve">, 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PassiveAggressiveClassifier</w:t>
      </w:r>
      <w:r>
        <w:rPr>
          <w:rFonts w:ascii="Arial" w:hAnsi="Arial"/>
          <w:color w:val="000000"/>
        </w:rPr>
        <w:t xml:space="preserve">, 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ComplementNB</w:t>
      </w:r>
      <w:r>
        <w:rPr>
          <w:rFonts w:ascii="Arial" w:hAnsi="Arial"/>
          <w:color w:val="000000"/>
        </w:rPr>
        <w:t xml:space="preserve">, 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LinearSVC</w:t>
      </w:r>
      <w:r>
        <w:rPr>
          <w:rFonts w:ascii="Arial" w:hAnsi="Arial"/>
          <w:color w:val="000000"/>
        </w:rPr>
        <w:t>)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Otimização &amp; Sistema:</w:t>
      </w:r>
      <w:r>
        <w:rPr>
          <w:rFonts w:ascii="Arial" w:hAnsi="Arial"/>
          <w:color w:val="000000"/>
        </w:rPr>
        <w:t xml:space="preserve"> 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psutil</w:t>
      </w:r>
      <w:r>
        <w:rPr>
          <w:rFonts w:ascii="Arial" w:hAnsi="Arial"/>
          <w:color w:val="000000"/>
        </w:rPr>
        <w:t xml:space="preserve">, 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joblib</w:t>
      </w:r>
      <w:r>
        <w:rPr>
          <w:rFonts w:ascii="Arial" w:hAnsi="Arial"/>
          <w:color w:val="000000"/>
        </w:rPr>
        <w:t xml:space="preserve">, 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multiprocessing</w:t>
      </w:r>
      <w:r>
        <w:rPr>
          <w:rFonts w:ascii="Arial" w:hAnsi="Arial"/>
          <w:color w:val="000000"/>
        </w:rPr>
        <w:t xml:space="preserve">, </w:t>
      </w:r>
      <w:r>
        <w:rPr>
          <w:rFonts w:eastAsia="Consolas" w:cs="Consolas" w:ascii="Arial" w:hAnsi="Arial"/>
          <w:color w:val="000000"/>
          <w:sz w:val="20"/>
          <w:szCs w:val="20"/>
          <w:shd w:fill="EEEEEE" w:val="clear"/>
        </w:rPr>
        <w:t>concurrent.futures</w:t>
      </w:r>
    </w:p>
    <w:p>
      <w:pPr>
        <w:pStyle w:val="ListParagraph"/>
        <w:numPr>
          <w:ilvl w:val="0"/>
          <w:numId w:val="1"/>
        </w:numPr>
        <w:spacing w:lineRule="exact" w:line="276" w:before="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Armazenamento &amp; Exportação:</w:t>
      </w:r>
      <w:r>
        <w:rPr>
          <w:rFonts w:ascii="Arial" w:hAnsi="Arial"/>
          <w:color w:val="000000"/>
        </w:rPr>
        <w:t xml:space="preserve"> PyArrow (Parquet), OpenPyXL (Excel)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04" w:hanging="288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04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/>
    <w:rPr>
      <w:rFonts w:ascii="Calibri" w:hAnsi="Calibri" w:eastAsia="Calibri" w:cs="Calibri"/>
      <w:b/>
      <w:bCs/>
      <w:color w:val="1F4E79"/>
      <w:sz w:val="30"/>
      <w:szCs w:val="30"/>
    </w:rPr>
  </w:style>
  <w:style w:type="paragraph" w:styleId="Heading2">
    <w:name w:val="Heading 2"/>
    <w:basedOn w:val="Ttulo"/>
    <w:qFormat/>
    <w:pPr/>
    <w:rPr>
      <w:rFonts w:ascii="Calibri" w:hAnsi="Calibri" w:eastAsia="Calibri" w:cs="Calibri"/>
      <w:b/>
      <w:bCs/>
      <w:color w:val="2E5A87"/>
      <w:sz w:val="25"/>
      <w:szCs w:val="25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InternetLink">
    <w:name w:val="Internet 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rFonts w:ascii="Calibri" w:hAnsi="Calibri" w:eastAsia="Calibri" w:cs="Calibri"/>
      <w:b/>
      <w:bCs/>
      <w:color w:val="1F4E79"/>
      <w:sz w:val="48"/>
      <w:szCs w:val="48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LibreOffice/24.2.4.2$Windows_X86_64 LibreOffice_project/51a6219feb6075d9a4c46691dcfe0cd9c4fff3c2</Application>
  <AppVersion>15.0000</AppVersion>
  <Pages>3</Pages>
  <Words>1018</Words>
  <Characters>5886</Characters>
  <CharactersWithSpaces>7112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2026-09-27T19:38:41Z</dcterms:created>
  <dc:creator>Un-named</dc:creator>
  <dc:description/>
  <dc:language>pt-BR</dc:language>
  <cp:lastModifiedBy/>
  <dcterms:modified xsi:type="dcterms:W3CDTF">2026-09-27T16:42:58Z</dcterms:modified>
  <cp:revision>2</cp:revision>
  <dc:subject/>
  <dc:title/>
</cp:coreProperties>
</file>