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240"/>
        <w:ind w:right="0" w:left="0" w:firstLine="0"/>
        <w:jc w:val="center"/>
        <w:rPr>
          <w:rFonts w:ascii="Calibri" w:hAnsi="Calibri" w:cs="Calibri" w:eastAsia="Calibri"/>
          <w:b/>
          <w:caps w:val="true"/>
          <w:color w:val="auto"/>
          <w:spacing w:val="0"/>
          <w:position w:val="0"/>
          <w:sz w:val="40"/>
          <w:shd w:fill="auto" w:val="clear"/>
        </w:rPr>
      </w:pPr>
      <w:r>
        <w:rPr>
          <w:rFonts w:ascii="Calibri" w:hAnsi="Calibri" w:cs="Calibri" w:eastAsia="Calibri"/>
          <w:b/>
          <w:caps w:val="true"/>
          <w:color w:val="auto"/>
          <w:spacing w:val="0"/>
          <w:position w:val="0"/>
          <w:sz w:val="40"/>
          <w:shd w:fill="auto" w:val="clear"/>
        </w:rPr>
        <w:t xml:space="preserve">projeto integrador 1° semestre logistica </w:t>
      </w:r>
    </w:p>
    <w:p>
      <w:pPr>
        <w:spacing w:before="120" w:after="120" w:line="240"/>
        <w:ind w:right="0" w:left="284" w:firstLine="567"/>
        <w:jc w:val="both"/>
        <w:rPr>
          <w:rFonts w:ascii="Calibri" w:hAnsi="Calibri" w:cs="Calibri" w:eastAsia="Calibri"/>
          <w:color w:val="auto"/>
          <w:spacing w:val="0"/>
          <w:position w:val="0"/>
          <w:sz w:val="24"/>
          <w:shd w:fill="auto" w:val="clear"/>
        </w:rPr>
      </w:pPr>
    </w:p>
    <w:p>
      <w:pPr>
        <w:spacing w:before="120" w:after="12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Kauê Venâncio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https://www.linkedin.com/in/kauê-oliveira-venâncio-b076b0192?utm_source=share&amp;utm_campaign=share_via&amp;utm_content=profile&amp;utm_medium=ios_app</w:t>
        </w:r>
      </w:hyperlink>
    </w:p>
    <w:p>
      <w:pPr>
        <w:spacing w:before="120" w:after="12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Pedro Hernandes (Scrum Master)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https://www.linkedin.com/in/pedro-hernandes-720486212?utm_source=share&amp;utm_campaign=share_via&amp;utm_content=profile&amp;utm_medium=android_app</w:t>
        </w:r>
      </w:hyperlink>
    </w:p>
    <w:p>
      <w:pPr>
        <w:spacing w:before="120" w:after="12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Paulo Henrique (PEO)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https://www.linkedin.com/in/paulo-henrique-b21680306?utm_source=share&amp;utm_campaign=share_via&amp;utm_content=profile&amp;utm_medium=ios_app</w:t>
        </w:r>
      </w:hyperlink>
    </w:p>
    <w:p>
      <w:pPr>
        <w:spacing w:before="120" w:after="12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Daniel Pacífico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https://www.linkedin.com/in/daniel-pac%C3%ADfico-500520323?utm_source=share&amp;utm_campaign=share_via&amp;utm_content=profile&amp;utm_medium=ios_app</w:t>
        </w:r>
      </w:hyperlink>
    </w:p>
    <w:p>
      <w:pPr>
        <w:spacing w:before="120" w:after="12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Andreza Maria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https://www.linkedin.com/in/andreza-maria-4a6625277?utm_source=share&amp;utm_campaign=share_via&amp;utm_content=profile&amp;utm_medium=android_app</w:t>
        </w:r>
      </w:hyperlink>
    </w:p>
    <w:p>
      <w:pPr>
        <w:spacing w:before="120" w:after="12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Bruno Moraes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http://www.linkedin.com/in/bruno-della-corte-4a792233a</w:t>
        </w:r>
      </w:hyperlink>
    </w:p>
    <w:p>
      <w:pPr>
        <w:spacing w:before="120" w:after="120" w:line="240"/>
        <w:ind w:right="0" w:left="0" w:firstLine="0"/>
        <w:jc w:val="both"/>
        <w:rPr>
          <w:rFonts w:ascii="Calibri" w:hAnsi="Calibri" w:cs="Calibri" w:eastAsia="Calibri"/>
          <w:color w:val="auto"/>
          <w:spacing w:val="0"/>
          <w:position w:val="0"/>
          <w:sz w:val="24"/>
          <w:shd w:fill="auto" w:val="clear"/>
        </w:rPr>
      </w:pPr>
    </w:p>
    <w:p>
      <w:pPr>
        <w:spacing w:before="120" w:after="120" w:line="240"/>
        <w:ind w:right="0" w:left="2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Professor e orientador: José Jaetis / Marcus Nascimento </w:t>
      </w:r>
    </w:p>
    <w:p>
      <w:pPr>
        <w:spacing w:before="120" w:after="120" w:line="360"/>
        <w:ind w:right="0" w:left="0" w:firstLine="0"/>
        <w:jc w:val="both"/>
        <w:rPr>
          <w:rFonts w:ascii="Calibri" w:hAnsi="Calibri" w:cs="Calibri" w:eastAsia="Calibri"/>
          <w:color w:val="auto"/>
          <w:spacing w:val="0"/>
          <w:position w:val="0"/>
          <w:sz w:val="24"/>
          <w:shd w:fill="auto" w:val="clear"/>
        </w:rPr>
      </w:pPr>
    </w:p>
    <w:p>
      <w:pPr>
        <w:spacing w:before="120" w:after="120" w:line="360"/>
        <w:ind w:right="0" w:left="2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Resumo do projeto:</w:t>
      </w:r>
    </w:p>
    <w:p>
      <w:pPr>
        <w:spacing w:before="120" w:after="12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processo de filtragem e análise de dados de importação e exportação de mercadorias, com base nas informações extraídas do site Comex Stat. O projeto focou nos municípios do Vale do Paraíba e Litoral Norte, utilizando planilhas extensas e códigos numéricos para representar os municípios. Para facilitar o tratamento dos dados, foi utilizada a ferramenta Sublime Text para a filtragem e posterior substituição dos códigos dos municípios por seus respectivos nomes. O objetivo deste projeto foi organizar e analisar os dados comerciais dessas regiões, facilitando a interpretação e uso posterior.</w:t>
        <w:br/>
        <w:br/>
      </w:r>
    </w:p>
    <w:p>
      <w:pPr>
        <w:spacing w:before="120" w:after="120" w:line="360"/>
        <w:ind w:right="0" w:left="284"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Palavras-Chave: Análise, Importação, Exportação, Dados.</w:t>
      </w:r>
    </w:p>
    <w:p>
      <w:pPr>
        <w:spacing w:before="120" w:after="120" w:line="360"/>
        <w:ind w:right="0" w:left="2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w:t>
      </w:r>
    </w:p>
    <w:p>
      <w:pPr>
        <w:spacing w:before="120" w:after="120" w:line="36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process of filtering and analyzing import and export data for goods, based on information extracted from the Comex Stat website. The project focused on the municipalities of the Paraíba Valley and Northern Coast, using extensive spreadsheets and numerical codes to represent the municipalities. To facilitate data processing, the Sublime Text tool was used to filter and subsequently replace the municipality codes with their respective names. The objective of this project was to organize and analyze the commercial data of these regions, facilitating interpretation and subsequent use.</w:t>
      </w:r>
    </w:p>
    <w:p>
      <w:pPr>
        <w:spacing w:before="120" w:after="120" w:line="360"/>
        <w:ind w:right="0" w:left="0" w:firstLine="284"/>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Keywords: Analysis, Import, Export, Data.</w:t>
      </w:r>
    </w:p>
    <w:p>
      <w:pPr>
        <w:spacing w:before="120" w:after="120" w:line="360"/>
        <w:ind w:right="0" w:left="0" w:firstLine="284"/>
        <w:jc w:val="both"/>
        <w:rPr>
          <w:rFonts w:ascii="Calibri" w:hAnsi="Calibri" w:cs="Calibri" w:eastAsia="Calibri"/>
          <w:color w:val="auto"/>
          <w:spacing w:val="0"/>
          <w:position w:val="0"/>
          <w:sz w:val="24"/>
          <w:shd w:fill="auto" w:val="clear"/>
        </w:rPr>
      </w:pPr>
    </w:p>
    <w:p>
      <w:pPr>
        <w:spacing w:before="120" w:after="120" w:line="360"/>
        <w:ind w:right="0" w:left="0" w:firstLine="284"/>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r>
    </w:p>
    <w:p>
      <w:pPr>
        <w:spacing w:before="120" w:after="120" w:line="360"/>
        <w:ind w:right="0" w:left="0" w:firstLine="284"/>
        <w:jc w:val="both"/>
        <w:rPr>
          <w:rFonts w:ascii="Calibri" w:hAnsi="Calibri" w:cs="Calibri" w:eastAsia="Calibri"/>
          <w:color w:val="auto"/>
          <w:spacing w:val="0"/>
          <w:position w:val="0"/>
          <w:sz w:val="20"/>
          <w:shd w:fill="auto" w:val="clear"/>
        </w:rPr>
      </w:pPr>
    </w:p>
    <w:p>
      <w:pPr>
        <w:spacing w:before="120" w:after="120" w:line="360"/>
        <w:ind w:right="0" w:left="0" w:firstLine="284"/>
        <w:jc w:val="both"/>
        <w:rPr>
          <w:rFonts w:ascii="Calibri" w:hAnsi="Calibri" w:cs="Calibri" w:eastAsia="Calibri"/>
          <w:color w:val="auto"/>
          <w:spacing w:val="0"/>
          <w:position w:val="0"/>
          <w:sz w:val="24"/>
          <w:shd w:fill="auto" w:val="clear"/>
        </w:rPr>
      </w:pPr>
    </w:p>
    <w:p>
      <w:pPr>
        <w:keepLines w:val="true"/>
        <w:numPr>
          <w:ilvl w:val="0"/>
          <w:numId w:val="11"/>
        </w:numPr>
        <w:spacing w:before="120" w:after="120" w:line="240"/>
        <w:ind w:right="0" w:left="648"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Contextualização do projeto</w:t>
      </w:r>
    </w:p>
    <w:p>
      <w:pPr>
        <w:spacing w:before="120" w:after="120" w:line="240"/>
        <w:ind w:right="0" w:left="284"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projeto que analisa os dados de importação e exportação do Brasil, com foco nos municípios da região do Vale do Paraíba e Litoral Norte. A iniciativa busca oferecer informações estratégicas para o Aeroporto de São José dos Campos, promovendo o fortalecimento da sua relevância como hub logístico na Região Metropolitana do Vale do Paraíba e Litoral Norte.</w:t>
      </w:r>
    </w:p>
    <w:p>
      <w:pPr>
        <w:spacing w:before="120" w:after="120" w:line="240"/>
        <w:ind w:right="0" w:left="284"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 dados foram coletados por meio da plataforma ComexStat, onde informações sobre fluxos comerciais foram extraídas e filtradas utilizando o software Sublime Text, de forma a identificar as transações específicas dos municípios da região. Após o tratamento inicial, os dados foram organizados e refinados no Microsoft Excel para padronização e análise detalhada. Por fim, um painel interativo foi desenvolvido no Power BI, destacando os produtos de maior valor agregado e identificando os principais parceiros comerciais de cada município.</w:t>
      </w:r>
    </w:p>
    <w:p>
      <w:pPr>
        <w:spacing w:before="120" w:after="120" w:line="240"/>
        <w:ind w:right="0" w:left="284"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Temos como objetivo auxiliar o aeroporto de SJC (RM Vale) e os stakeholders regionais a identificar oportunidades estratégicas de mercado, como os principais produtos para exportação e importação, e otimizar o posicionamento logístico da região. A análise busca contribuir para a tomada de decisões informadas, aumentando a competitividade e a relevância do aeroporto como ponto-chave no comércio exterior brasileiro.</w:t>
      </w:r>
    </w:p>
    <w:p>
      <w:pPr>
        <w:spacing w:before="120" w:after="120" w:line="240"/>
        <w:ind w:right="0" w:left="284" w:firstLine="567"/>
        <w:jc w:val="both"/>
        <w:rPr>
          <w:rFonts w:ascii="Calibri" w:hAnsi="Calibri" w:cs="Calibri" w:eastAsia="Calibri"/>
          <w:color w:val="auto"/>
          <w:spacing w:val="0"/>
          <w:position w:val="0"/>
          <w:sz w:val="24"/>
          <w:shd w:fill="auto" w:val="clear"/>
        </w:rPr>
      </w:pPr>
    </w:p>
    <w:p>
      <w:pPr>
        <w:spacing w:before="120" w:after="120" w:line="240"/>
        <w:ind w:right="0" w:left="0" w:firstLine="0"/>
        <w:jc w:val="both"/>
        <w:rPr>
          <w:rFonts w:ascii="Calibri" w:hAnsi="Calibri" w:cs="Calibri" w:eastAsia="Calibri"/>
          <w:color w:val="auto"/>
          <w:spacing w:val="0"/>
          <w:position w:val="0"/>
          <w:sz w:val="24"/>
          <w:shd w:fill="auto" w:val="clear"/>
        </w:rPr>
      </w:pPr>
    </w:p>
    <w:p>
      <w:pPr>
        <w:keepLines w:val="true"/>
        <w:numPr>
          <w:ilvl w:val="0"/>
          <w:numId w:val="14"/>
        </w:numPr>
        <w:spacing w:before="120" w:after="120" w:line="240"/>
        <w:ind w:right="0" w:left="648"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Objetivos do projeto</w:t>
      </w:r>
    </w:p>
    <w:p>
      <w:pPr>
        <w:spacing w:before="120" w:after="120" w:line="240"/>
        <w:ind w:right="0" w:left="284"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 objetivos estabelecidos para esse projeto consistem em:</w:t>
      </w:r>
    </w:p>
    <w:p>
      <w:pPr>
        <w:numPr>
          <w:ilvl w:val="0"/>
          <w:numId w:val="16"/>
        </w:numPr>
        <w:spacing w:before="120" w:after="120" w:line="240"/>
        <w:ind w:right="0" w:left="1571"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Coleta de dados em site comex stat, que nos forneceu informações de importação e exportação do Brasil.</w:t>
      </w:r>
    </w:p>
    <w:p>
      <w:pPr>
        <w:numPr>
          <w:ilvl w:val="0"/>
          <w:numId w:val="16"/>
        </w:numPr>
        <w:spacing w:before="120" w:after="120" w:line="240"/>
        <w:ind w:right="0" w:left="1571"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Filtragem de dados através da ferramenta sublime text</w:t>
      </w:r>
    </w:p>
    <w:p>
      <w:pPr>
        <w:numPr>
          <w:ilvl w:val="0"/>
          <w:numId w:val="16"/>
        </w:numPr>
        <w:spacing w:before="120" w:after="120" w:line="240"/>
        <w:ind w:right="0" w:left="1571"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Organização através do Excel dos dados obtidos para implementar no Power Bi</w:t>
      </w:r>
    </w:p>
    <w:p>
      <w:pPr>
        <w:numPr>
          <w:ilvl w:val="0"/>
          <w:numId w:val="16"/>
        </w:numPr>
        <w:spacing w:before="120" w:after="120" w:line="240"/>
        <w:ind w:right="0" w:left="1571"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Criação de dashboards para apresentar os dados que indicam principais itens a serem importados e exportados para a auxiliar a RM Vale</w:t>
      </w:r>
    </w:p>
    <w:p>
      <w:pPr>
        <w:keepLines w:val="true"/>
        <w:numPr>
          <w:ilvl w:val="0"/>
          <w:numId w:val="16"/>
        </w:numPr>
        <w:spacing w:before="120" w:after="120" w:line="240"/>
        <w:ind w:right="0" w:left="648"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Fundamentação dos métodos analíticos e das tecnologias utilizadas</w:t>
      </w:r>
    </w:p>
    <w:p>
      <w:pPr>
        <w:keepNext w:val="true"/>
        <w:numPr>
          <w:ilvl w:val="0"/>
          <w:numId w:val="16"/>
        </w:numPr>
        <w:spacing w:before="120" w:after="120" w:line="240"/>
        <w:ind w:right="0" w:left="964" w:hanging="567"/>
        <w:jc w:val="both"/>
        <w:rPr>
          <w:rFonts w:ascii="Calibri" w:hAnsi="Calibri" w:cs="Calibri" w:eastAsia="Calibri"/>
          <w: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Métodos analíticos utilizados </w:t>
      </w:r>
    </w:p>
    <w:p>
      <w:pPr>
        <w:spacing w:before="120" w:after="120" w:line="240"/>
        <w:ind w:right="0" w:left="284" w:firstLine="567"/>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 Análise ABC será utilizada para identificar os produtos de maior impacto econômico no comércio exterior da região. Esse método classifica os produtos em três categorias principais: </w:t>
      </w:r>
    </w:p>
    <w:p>
      <w:pPr>
        <w:spacing w:before="120" w:after="120" w:line="240"/>
        <w:ind w:right="0" w:left="0" w:firstLine="0"/>
        <w:jc w:val="both"/>
        <w:rPr>
          <w:rFonts w:ascii="Calibri" w:hAnsi="Calibri" w:cs="Calibri" w:eastAsia="Calibri"/>
          <w:color w:val="auto"/>
          <w:spacing w:val="0"/>
          <w:position w:val="0"/>
          <w:sz w:val="24"/>
          <w:shd w:fill="auto" w:val="clear"/>
        </w:rPr>
      </w:pPr>
    </w:p>
    <w:p>
      <w:pPr>
        <w:keepNext w:val="true"/>
        <w:spacing w:before="120" w:after="120" w:line="240"/>
        <w:ind w:right="0" w:left="284" w:firstLine="567"/>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Tabela 1 </w:t>
      </w:r>
      <w:r>
        <w:rPr>
          <w:rFonts w:ascii="Calibri" w:hAnsi="Calibri" w:cs="Calibri" w:eastAsia="Calibri"/>
          <w:b/>
          <w:color w:val="auto"/>
          <w:spacing w:val="0"/>
          <w:position w:val="0"/>
          <w:sz w:val="20"/>
          <w:shd w:fill="auto" w:val="clear"/>
        </w:rPr>
        <w:t xml:space="preserve">–</w:t>
      </w:r>
      <w:r>
        <w:rPr>
          <w:rFonts w:ascii="Calibri" w:hAnsi="Calibri" w:cs="Calibri" w:eastAsia="Calibri"/>
          <w:b/>
          <w:color w:val="auto"/>
          <w:spacing w:val="0"/>
          <w:position w:val="0"/>
          <w:sz w:val="20"/>
          <w:shd w:fill="auto" w:val="clear"/>
        </w:rPr>
        <w:t xml:space="preserve"> Tabela de refer</w:t>
      </w:r>
      <w:r>
        <w:rPr>
          <w:rFonts w:ascii="Calibri" w:hAnsi="Calibri" w:cs="Calibri" w:eastAsia="Calibri"/>
          <w:b/>
          <w:color w:val="auto"/>
          <w:spacing w:val="0"/>
          <w:position w:val="0"/>
          <w:sz w:val="20"/>
          <w:shd w:fill="auto" w:val="clear"/>
        </w:rPr>
        <w:t xml:space="preserve">ências</w:t>
      </w:r>
    </w:p>
    <w:tbl>
      <w:tblPr/>
      <w:tblGrid>
        <w:gridCol w:w="2060"/>
        <w:gridCol w:w="1879"/>
        <w:gridCol w:w="1658"/>
        <w:gridCol w:w="3475"/>
      </w:tblGrid>
      <w:tr>
        <w:trPr>
          <w:trHeight w:val="320" w:hRule="auto"/>
          <w:jc w:val="left"/>
        </w:trPr>
        <w:tc>
          <w:tcPr>
            <w:tcW w:w="2060" w:type="dxa"/>
            <w:tcBorders>
              <w:top w:val="single" w:color="000000" w:sz="0"/>
              <w:left w:val="single" w:color="000000" w:sz="0"/>
              <w:bottom w:val="single" w:color="000000" w:sz="8"/>
              <w:right w:val="single" w:color="000000" w:sz="0"/>
            </w:tcBorders>
            <w:shd w:color="000000" w:fill="d9d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Autor(es)</w:t>
            </w:r>
          </w:p>
        </w:tc>
        <w:tc>
          <w:tcPr>
            <w:tcW w:w="1879" w:type="dxa"/>
            <w:tcBorders>
              <w:top w:val="single" w:color="000000" w:sz="0"/>
              <w:left w:val="single" w:color="000000" w:sz="0"/>
              <w:bottom w:val="single" w:color="000000" w:sz="8"/>
              <w:right w:val="single" w:color="000000" w:sz="0"/>
            </w:tcBorders>
            <w:shd w:color="000000" w:fill="d9d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Métodos de análise</w:t>
            </w:r>
          </w:p>
        </w:tc>
        <w:tc>
          <w:tcPr>
            <w:tcW w:w="1658" w:type="dxa"/>
            <w:tcBorders>
              <w:top w:val="single" w:color="000000" w:sz="0"/>
              <w:left w:val="single" w:color="000000" w:sz="0"/>
              <w:bottom w:val="single" w:color="000000" w:sz="8"/>
              <w:right w:val="single" w:color="000000" w:sz="0"/>
            </w:tcBorders>
            <w:shd w:color="000000" w:fill="d9d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Dados utilizados</w:t>
            </w:r>
          </w:p>
        </w:tc>
        <w:tc>
          <w:tcPr>
            <w:tcW w:w="3475" w:type="dxa"/>
            <w:tcBorders>
              <w:top w:val="single" w:color="000000" w:sz="0"/>
              <w:left w:val="single" w:color="000000" w:sz="0"/>
              <w:bottom w:val="single" w:color="000000" w:sz="8"/>
              <w:right w:val="single" w:color="000000" w:sz="0"/>
            </w:tcBorders>
            <w:shd w:color="000000" w:fill="d9d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Principais conclusões</w:t>
            </w:r>
          </w:p>
        </w:tc>
      </w:tr>
      <w:tr>
        <w:trPr>
          <w:trHeight w:val="2520" w:hRule="auto"/>
          <w:jc w:val="left"/>
        </w:trPr>
        <w:tc>
          <w:tcPr>
            <w:tcW w:w="2060"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Vilfredo Pareto</w:t>
            </w:r>
          </w:p>
        </w:tc>
        <w:tc>
          <w:tcPr>
            <w:tcW w:w="1879"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Princípio de Pareto</w:t>
            </w:r>
          </w:p>
        </w:tc>
        <w:tc>
          <w:tcPr>
            <w:tcW w:w="1658"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3 observações</w:t>
            </w:r>
          </w:p>
        </w:tc>
        <w:tc>
          <w:tcPr>
            <w:tcW w:w="3475"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Aplicando o Princípio de Pareto, conclui-se que o projeto deve focar nos produtos de maior valor agregado e nos principais parceiros comerciais, que representam uma pequena parte das transações, mas geram a maior parte do valor. Isso permite identificar oportunidades estratégicas, otimizar recursos e fortalecer o Aeroporto de São José dos Campos como um hub logístico relevante. O uso de dados organizados facilita decisões mais informadas, concentrando esforços nos fatores que geram maior impacto econômico na região.</w:t>
            </w:r>
          </w:p>
          <w:p>
            <w:pPr>
              <w:spacing w:before="0" w:after="0" w:line="240"/>
              <w:ind w:right="0" w:left="0" w:firstLine="0"/>
              <w:jc w:val="left"/>
              <w:rPr>
                <w:spacing w:val="0"/>
                <w:position w:val="0"/>
                <w:shd w:fill="auto" w:val="clear"/>
              </w:rPr>
            </w:pPr>
          </w:p>
        </w:tc>
      </w:tr>
    </w:tbl>
    <w:p>
      <w:pPr>
        <w:spacing w:before="120" w:after="120" w:line="240"/>
        <w:ind w:right="0" w:left="284" w:firstLine="567"/>
        <w:jc w:val="both"/>
        <w:rPr>
          <w:rFonts w:ascii="Calibri" w:hAnsi="Calibri" w:cs="Calibri" w:eastAsia="Calibri"/>
          <w:color w:val="auto"/>
          <w:spacing w:val="0"/>
          <w:position w:val="0"/>
          <w:sz w:val="24"/>
          <w:shd w:fill="auto" w:val="clear"/>
        </w:rPr>
      </w:pPr>
    </w:p>
    <w:p>
      <w:pPr>
        <w:spacing w:before="120" w:after="120" w:line="240"/>
        <w:ind w:right="0" w:left="284" w:firstLine="567"/>
        <w:jc w:val="both"/>
        <w:rPr>
          <w:rFonts w:ascii="Calibri" w:hAnsi="Calibri" w:cs="Calibri" w:eastAsia="Calibri"/>
          <w:color w:val="auto"/>
          <w:spacing w:val="0"/>
          <w:position w:val="0"/>
          <w:sz w:val="24"/>
          <w:shd w:fill="auto" w:val="clear"/>
        </w:rPr>
      </w:pPr>
    </w:p>
    <w:p>
      <w:pPr>
        <w:spacing w:before="120" w:after="120" w:line="240"/>
        <w:ind w:right="0" w:left="284" w:firstLine="567"/>
        <w:jc w:val="both"/>
        <w:rPr>
          <w:rFonts w:ascii="Calibri" w:hAnsi="Calibri" w:cs="Calibri" w:eastAsia="Calibri"/>
          <w:color w:val="auto"/>
          <w:spacing w:val="0"/>
          <w:position w:val="0"/>
          <w:sz w:val="24"/>
          <w:shd w:fill="auto" w:val="clear"/>
        </w:rPr>
      </w:pPr>
    </w:p>
    <w:p>
      <w:pPr>
        <w:spacing w:before="120" w:after="120" w:line="240"/>
        <w:ind w:right="0" w:left="284" w:firstLine="567"/>
        <w:jc w:val="both"/>
        <w:rPr>
          <w:rFonts w:ascii="Calibri" w:hAnsi="Calibri" w:cs="Calibri" w:eastAsia="Calibri"/>
          <w:color w:val="auto"/>
          <w:spacing w:val="0"/>
          <w:position w:val="0"/>
          <w:sz w:val="24"/>
          <w:shd w:fill="auto" w:val="clear"/>
        </w:rPr>
      </w:pPr>
    </w:p>
    <w:p>
      <w:pPr>
        <w:keepNext w:val="true"/>
        <w:numPr>
          <w:ilvl w:val="0"/>
          <w:numId w:val="30"/>
        </w:numPr>
        <w:spacing w:before="120" w:after="120" w:line="240"/>
        <w:ind w:right="0" w:left="964" w:hanging="567"/>
        <w:jc w:val="both"/>
        <w:rPr>
          <w:rFonts w:ascii="Calibri" w:hAnsi="Calibri" w:cs="Calibri" w:eastAsia="Calibri"/>
          <w: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Tecnologias da Informação</w:t>
      </w:r>
    </w:p>
    <w:p>
      <w:pPr>
        <w:spacing w:before="120" w:after="120" w:line="240"/>
        <w:ind w:right="0" w:left="284"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Sublime Text: Um editor de texto avançado e altamente eficiente, utilizado para manipulação de grandes volumes de dados em arquivos de texto. Sua flexibilidade, recursos como busca avançada e suporte a expressões regulares permitem realizar filtros e ajustes precisos nos dados de forma ágil.</w:t>
      </w:r>
    </w:p>
    <w:p>
      <w:pPr>
        <w:spacing w:before="120" w:after="120" w:line="240"/>
        <w:ind w:right="0" w:left="284"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Planilhas Excel: Ferramenta de planilhas utilizada para organizar, tratar e padronizar os dados exportados. O Excel permitiu refinar as informações, realizar análises preliminares e preparar os conjuntos de dados de maneira estruturada, facilitando sua integração com outras plataformas.</w:t>
      </w:r>
    </w:p>
    <w:p>
      <w:pPr>
        <w:spacing w:before="120" w:after="120" w:line="240"/>
        <w:ind w:right="0" w:left="284"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Power BI: Uma poderosa ferramenta de business intelligence empregada para criar dashboards interativos e visuais dinâmicos. No contexto deste projeto, o Power BI foi utilizado para organizar e apresentar os dados tratados no Excel, destacando os insights mais relevantes, como produtos estratégicos e parceiros comerciais, e permitindo análises detalhadas para a tomada de decisão estratégica</w:t>
      </w:r>
    </w:p>
    <w:p>
      <w:pPr>
        <w:spacing w:before="120" w:after="120" w:line="240"/>
        <w:ind w:right="0" w:left="284" w:firstLine="567"/>
        <w:jc w:val="both"/>
        <w:rPr>
          <w:rFonts w:ascii="Calibri" w:hAnsi="Calibri" w:cs="Calibri" w:eastAsia="Calibri"/>
          <w:color w:val="auto"/>
          <w:spacing w:val="0"/>
          <w:position w:val="0"/>
          <w:sz w:val="24"/>
          <w:shd w:fill="auto" w:val="clear"/>
        </w:rPr>
      </w:pPr>
    </w:p>
    <w:p>
      <w:pPr>
        <w:spacing w:before="120" w:after="120" w:line="240"/>
        <w:ind w:right="0" w:left="284" w:firstLine="567"/>
        <w:jc w:val="both"/>
        <w:rPr>
          <w:rFonts w:ascii="Calibri" w:hAnsi="Calibri" w:cs="Calibri" w:eastAsia="Calibri"/>
          <w:color w:val="auto"/>
          <w:spacing w:val="0"/>
          <w:position w:val="0"/>
          <w:sz w:val="24"/>
          <w:shd w:fill="auto" w:val="clear"/>
        </w:rPr>
      </w:pPr>
    </w:p>
    <w:p>
      <w:pPr>
        <w:keepLines w:val="true"/>
        <w:numPr>
          <w:ilvl w:val="0"/>
          <w:numId w:val="32"/>
        </w:numPr>
        <w:spacing w:before="120" w:after="120" w:line="240"/>
        <w:ind w:right="0" w:left="648"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Coleta e descrição dos dados utilizados</w:t>
      </w:r>
    </w:p>
    <w:p>
      <w:pPr>
        <w:spacing w:before="12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  Utilizando a plataforma Comex Stat, amplamente reconhecida como uma fonte confiável para dados de comércio exterior, foram coletadas informações detalhadas sobre importação e exportação de produtos realizadas entre janeiro e agosto de 2024. O processo envolveu a filtragem dos dados para identificar os produtos movimentados em cada cidade do Vale do Paraíba e Litoral Norte, com foco em dois indicadores fundamentais: valor bruto e peso de cada item. Essa análise permitiu calcular o valor agregado dos produtos, fornecendo uma visão estratégica para identificar os itens de maior relevância econômica e seu potencial para impulsionar o comércio exterior da região.</w:t>
      </w:r>
    </w:p>
    <w:p>
      <w:pPr>
        <w:spacing w:before="12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20" w:after="120" w:line="240"/>
        <w:ind w:right="0" w:left="284" w:firstLine="567"/>
        <w:jc w:val="both"/>
        <w:rPr>
          <w:rFonts w:ascii="Calibri" w:hAnsi="Calibri" w:cs="Calibri" w:eastAsia="Calibri"/>
          <w:color w:val="auto"/>
          <w:spacing w:val="0"/>
          <w:position w:val="0"/>
          <w:sz w:val="24"/>
          <w:shd w:fill="auto" w:val="clear"/>
        </w:rPr>
      </w:pPr>
    </w:p>
    <w:p>
      <w:pPr>
        <w:keepLines w:val="true"/>
        <w:numPr>
          <w:ilvl w:val="0"/>
          <w:numId w:val="35"/>
        </w:numPr>
        <w:spacing w:before="120" w:after="120" w:line="240"/>
        <w:ind w:right="0" w:left="648"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Resultados esperados</w:t>
      </w:r>
    </w:p>
    <w:p>
      <w:pPr>
        <w:spacing w:before="120" w:after="120" w:line="240"/>
        <w:ind w:right="0" w:left="284"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  O projeto alcançou com sucesso seu objetivo de analisar e estruturar dados de comércio exterior dos municípios do Vale do Paraíba e Litoral Norte, oferecendo insights estratégicos por meio de um painel interativo no Power BI. Este painel destaca os produtos de maior valor agregado e os principais parceiros comerciais, fornecendo uma base sólida para o Aeroporto de São José dos Campos (RM Vale) e stakeholders regionais identificarem oportunidades de mercado e otimizarem suas estratégias logísticas. A iniciativa não apenas reforça a competitividade da região no comércio exterior, mas também posiciona o aeroporto como um hub logístico estratégico, contribuindo para o desenvolvimento econômico regional.</w:t>
      </w:r>
    </w:p>
    <w:p>
      <w:pPr>
        <w:keepLines w:val="true"/>
        <w:numPr>
          <w:ilvl w:val="0"/>
          <w:numId w:val="37"/>
        </w:numPr>
        <w:spacing w:before="120" w:after="120" w:line="240"/>
        <w:ind w:right="0" w:left="648" w:hanging="36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Referências</w:t>
      </w:r>
    </w:p>
    <w:p>
      <w:pPr>
        <w:spacing w:before="120" w:after="120" w:line="240"/>
        <w:ind w:right="0" w:left="284" w:firstLine="56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BRASIL. Comex Stat. Portal de estatísticas de comércio exterior. Disponível em: &lt;</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http://comexstat.mdic.gov.br</w:t>
        </w:r>
      </w:hyperlink>
      <w:r>
        <w:rPr>
          <w:rFonts w:ascii="Calibri" w:hAnsi="Calibri" w:cs="Calibri" w:eastAsia="Calibri"/>
          <w:color w:val="auto"/>
          <w:spacing w:val="0"/>
          <w:position w:val="0"/>
          <w:sz w:val="24"/>
          <w:shd w:fill="auto" w:val="clear"/>
        </w:rPr>
        <w:t xml:space="preserve">&gt;. Acesso em: 20 de agosto de 2024.</w:t>
      </w:r>
    </w:p>
    <w:p>
      <w:pPr>
        <w:spacing w:before="120" w:after="120" w:line="240"/>
        <w:ind w:right="0" w:left="284" w:firstLine="567"/>
        <w:jc w:val="both"/>
        <w:rPr>
          <w:rFonts w:ascii="Calibri" w:hAnsi="Calibri" w:cs="Calibri" w:eastAsia="Calibri"/>
          <w:color w:val="auto"/>
          <w:spacing w:val="0"/>
          <w:position w:val="0"/>
          <w:sz w:val="24"/>
          <w:shd w:fill="auto" w:val="clear"/>
        </w:rPr>
      </w:pPr>
    </w:p>
    <w:p>
      <w:pPr>
        <w:spacing w:before="120" w:after="120" w:line="240"/>
        <w:ind w:right="0" w:left="284" w:firstLine="567"/>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1">
    <w:abstractNumId w:val="36"/>
  </w:num>
  <w:num w:numId="14">
    <w:abstractNumId w:val="30"/>
  </w:num>
  <w:num w:numId="16">
    <w:abstractNumId w:val="24"/>
  </w:num>
  <w:num w:numId="30">
    <w:abstractNumId w:val="18"/>
  </w:num>
  <w:num w:numId="32">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daniel-pac%C3%ADfico-500520323?utm_source=share&amp;utm_campaign=share_via&amp;utm_content=profile&amp;utm_medium=ios_app" Id="docRId3" Type="http://schemas.openxmlformats.org/officeDocument/2006/relationships/hyperlink" /><Relationship Target="numbering.xml" Id="docRId7" Type="http://schemas.openxmlformats.org/officeDocument/2006/relationships/numbering" /><Relationship TargetMode="External" Target="https://www.linkedin.com/in/kau%EA-oliveira-ven%E2ncio-b076b0192?utm_source=share&amp;utm_campaign=share_via&amp;utm_content=profile&amp;utm_medium=ios_app" Id="docRId0" Type="http://schemas.openxmlformats.org/officeDocument/2006/relationships/hyperlink" /><Relationship TargetMode="External" Target="https://www.linkedin.com/in/paulo-henrique-b21680306?utm_source=share&amp;utm_campaign=share_via&amp;utm_content=profile&amp;utm_medium=ios_app" Id="docRId2" Type="http://schemas.openxmlformats.org/officeDocument/2006/relationships/hyperlink" /><Relationship TargetMode="External" Target="https://www.linkedin.com/in/andreza-maria-4a6625277?utm_source=share&amp;utm_campaign=share_via&amp;utm_content=profile&amp;utm_medium=android_app" Id="docRId4" Type="http://schemas.openxmlformats.org/officeDocument/2006/relationships/hyperlink" /><Relationship TargetMode="External" Target="http://comexstat.mdic.gov.br/" Id="docRId6" Type="http://schemas.openxmlformats.org/officeDocument/2006/relationships/hyperlink" /><Relationship Target="styles.xml" Id="docRId8" Type="http://schemas.openxmlformats.org/officeDocument/2006/relationships/styles" /><Relationship TargetMode="External" Target="https://www.linkedin.com/in/pedro-hernandes-720486212?utm_source=share&amp;utm_campaign=share_via&amp;utm_content=profile&amp;utm_medium=android_app" Id="docRId1" Type="http://schemas.openxmlformats.org/officeDocument/2006/relationships/hyperlink" /><Relationship TargetMode="External" Target="http://www.linkedin.com/in/bruno-della-corte-4a792233a" Id="docRId5" Type="http://schemas.openxmlformats.org/officeDocument/2006/relationships/hyperlink" /></Relationships>
</file>