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Endpoint de conceitos ans</w:t>
      </w:r>
    </w:p>
    <w:p>
      <w:pPr>
        <w:pStyle w:val="Heading2"/>
      </w:pPr>
      <w:r>
        <w:t>Fonte original</w:t>
      </w:r>
    </w:p>
    <w:p>
      <w:r>
        <w:t>Instituição: não identificado na fonte</w:t>
      </w:r>
    </w:p>
    <w:p>
      <w:r>
        <w:t>Ano de publicação: não identificado na fonte</w:t>
      </w:r>
    </w:p>
    <w:p>
      <w:r>
        <w:t>Tipo documental: GOVERNMENT_DOCUMENT</w:t>
      </w:r>
    </w:p>
    <w:p>
      <w:r>
        <w:t>Identificador da fonte (ID interno): doc-43849e6decb0</w:t>
      </w:r>
    </w:p>
    <w:p>
      <w:pPr>
        <w:pStyle w:val="Heading2"/>
      </w:pPr>
      <w:r>
        <w:t>Resumo</w:t>
      </w:r>
    </w:p>
    <w:p>
      <w:r>
        <w:t>Serviço OclService para consulta de conceitos e fontes da ANS, com endpoints para consultar registros de tabelas TUSS específicas (com paginação e filtro textual) e para listar as fontes disponíveis.</w:t>
      </w:r>
    </w:p>
    <w:p>
      <w:pPr>
        <w:pStyle w:val="Heading2"/>
      </w:pPr>
      <w:r>
        <w:t>Conceitos fundamentais</w:t>
      </w:r>
    </w:p>
    <w:p>
      <w:pPr>
        <w:pStyle w:val="ListBullet"/>
      </w:pPr>
      <w:r>
        <w:t>OclService</w:t>
      </w:r>
    </w:p>
    <w:p>
      <w:pPr>
        <w:pStyle w:val="ListBullet"/>
      </w:pPr>
      <w:r>
        <w:t>conceitos da ANS</w:t>
      </w:r>
    </w:p>
    <w:p>
      <w:pPr>
        <w:pStyle w:val="ListBullet"/>
      </w:pPr>
      <w:r>
        <w:t>fontes da ANS</w:t>
      </w:r>
    </w:p>
    <w:p>
      <w:pPr>
        <w:pStyle w:val="ListBullet"/>
      </w:pPr>
      <w:r>
        <w:t>tabela TUSS</w:t>
      </w:r>
    </w:p>
    <w:p>
      <w:pPr>
        <w:pStyle w:val="ListBullet"/>
      </w:pPr>
      <w:r>
        <w:t>paginação</w:t>
      </w:r>
    </w:p>
    <w:p>
      <w:pPr>
        <w:pStyle w:val="ListBullet"/>
      </w:pPr>
      <w:r>
        <w:t>filtro textual</w:t>
      </w:r>
    </w:p>
    <w:p>
      <w:pPr>
        <w:pStyle w:val="Heading2"/>
      </w:pPr>
      <w:r>
        <w:t>Procedimentos</w:t>
      </w:r>
    </w:p>
    <w:p>
      <w:pPr>
        <w:pStyle w:val="ListBullet"/>
      </w:pPr>
      <w:r>
        <w:t>Consultar os registros de uma tabela TUSS específica</w:t>
      </w:r>
    </w:p>
    <w:p>
      <w:pPr>
        <w:pStyle w:val="ListBullet"/>
      </w:pPr>
      <w:r>
        <w:t>Consultar as tabelas disponíveis utilizando o serviço /source</w:t>
      </w:r>
    </w:p>
    <w:p>
      <w:pPr>
        <w:pStyle w:val="ListBullet"/>
      </w:pPr>
      <w:r>
        <w:t>Informar a tabela no formato tuss-NUMERO, por exemplo: tuss-22</w:t>
      </w:r>
    </w:p>
    <w:p>
      <w:pPr>
        <w:pStyle w:val="ListBullet"/>
      </w:pPr>
      <w:r>
        <w:t>Informar o número da página para retorno paginado</w:t>
      </w:r>
    </w:p>
    <w:p>
      <w:pPr>
        <w:pStyle w:val="ListBullet"/>
      </w:pPr>
      <w:r>
        <w:t>Utilizar o parâmetro q para filtro textual dos resultados</w:t>
      </w:r>
    </w:p>
    <w:p>
      <w:pPr>
        <w:pStyle w:val="Heading2"/>
      </w:pPr>
      <w:r>
        <w:t>Nota de transparência</w:t>
      </w:r>
    </w:p>
    <w:p>
      <w:r>
        <w:t>Este documento é uma síntese gerada automaticamente a partir da fonte indicada acima. Origem dos metadados: ia_deepseek. Data de processamento: 2026-10-04T01:32:49.377912+00:00.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Endpoint de conceitos ans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