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Instrução normativa ans nº 28, de 16 de dezembro de 2022</w:t>
      </w:r>
    </w:p>
    <w:p>
      <w:pPr>
        <w:pStyle w:val="Heading2"/>
      </w:pPr>
      <w:r>
        <w:t>Fonte original</w:t>
      </w:r>
    </w:p>
    <w:p>
      <w:r>
        <w:t>Instituição: não identificado na fonte</w:t>
      </w:r>
    </w:p>
    <w:p>
      <w:r>
        <w:t>Ano de publicação: 2022</w:t>
      </w:r>
    </w:p>
    <w:p>
      <w:r>
        <w:t>Tipo documental: GOVERNMENT_DOCUMENT</w:t>
      </w:r>
    </w:p>
    <w:p>
      <w:r>
        <w:t>Identificador da fonte (ID interno): doc-ebf719ad7719</w:t>
      </w:r>
    </w:p>
    <w:p>
      <w:pPr>
        <w:pStyle w:val="Heading2"/>
      </w:pPr>
      <w:r>
        <w:t>Resumo</w:t>
      </w:r>
    </w:p>
    <w:p>
      <w:r>
        <w:t>Instrução Normativa ANS nº 28, de 16 de dezembro de 2022, que dispõe sobre os procedimentos do Registro de Produtos junto à Agência Nacional de Saúde Suplementar (ANS), estabelecendo normas para concessão, manutenção e cancelamento dos registros dos produtos, incluindo requisitos documentais, análise eletrônica, regras sobre NTRP, rede assistencial, e disposições contratuais sobre atendimento de urgência e emergência.</w:t>
      </w:r>
    </w:p>
    <w:p>
      <w:pPr>
        <w:pStyle w:val="Heading2"/>
      </w:pPr>
      <w:r>
        <w:t>Conceitos fundamentais</w:t>
      </w:r>
    </w:p>
    <w:p>
      <w:pPr>
        <w:pStyle w:val="ListBullet"/>
      </w:pPr>
      <w:r>
        <w:t>Registro de Produtos</w:t>
      </w:r>
    </w:p>
    <w:p>
      <w:pPr>
        <w:pStyle w:val="ListBullet"/>
      </w:pPr>
      <w:r>
        <w:t>Taxa de Saúde Suplementar por Registro de Produto (TRP)</w:t>
      </w:r>
    </w:p>
    <w:p>
      <w:pPr>
        <w:pStyle w:val="ListBullet"/>
      </w:pPr>
      <w:r>
        <w:t>Nota Técnica de Registro de Produto (NTRP)</w:t>
      </w:r>
    </w:p>
    <w:p>
      <w:pPr>
        <w:pStyle w:val="ListBullet"/>
      </w:pPr>
      <w:r>
        <w:t>Registro de Planos de Saúde (RPS)</w:t>
      </w:r>
    </w:p>
    <w:p>
      <w:pPr>
        <w:pStyle w:val="ListBullet"/>
      </w:pPr>
      <w:r>
        <w:t>plano-referência</w:t>
      </w:r>
    </w:p>
    <w:p>
      <w:pPr>
        <w:pStyle w:val="ListBullet"/>
      </w:pPr>
      <w:r>
        <w:t>segmentação assistencial</w:t>
      </w:r>
    </w:p>
    <w:p>
      <w:pPr>
        <w:pStyle w:val="ListBullet"/>
      </w:pPr>
      <w:r>
        <w:t>tipo de contratação</w:t>
      </w:r>
    </w:p>
    <w:p>
      <w:pPr>
        <w:pStyle w:val="ListBullet"/>
      </w:pPr>
      <w:r>
        <w:t>área geográfica de abrangência</w:t>
      </w:r>
    </w:p>
    <w:p>
      <w:pPr>
        <w:pStyle w:val="ListBullet"/>
      </w:pPr>
      <w:r>
        <w:t>área de atuação</w:t>
      </w:r>
    </w:p>
    <w:p>
      <w:pPr>
        <w:pStyle w:val="ListBullet"/>
      </w:pPr>
      <w:r>
        <w:t>padrão de acomodação em internação</w:t>
      </w:r>
    </w:p>
    <w:p>
      <w:pPr>
        <w:pStyle w:val="ListBullet"/>
      </w:pPr>
      <w:r>
        <w:t>acesso a livre escolha de prestadores</w:t>
      </w:r>
    </w:p>
    <w:p>
      <w:pPr>
        <w:pStyle w:val="ListBullet"/>
      </w:pPr>
      <w:r>
        <w:t>fator moderador</w:t>
      </w:r>
    </w:p>
    <w:p>
      <w:pPr>
        <w:pStyle w:val="ListBullet"/>
      </w:pPr>
      <w:r>
        <w:t>formação do preço</w:t>
      </w:r>
    </w:p>
    <w:p>
      <w:pPr>
        <w:pStyle w:val="ListBullet"/>
      </w:pPr>
      <w:r>
        <w:t>condições de vínculo do beneficiário em planos coletivos</w:t>
      </w:r>
    </w:p>
    <w:p>
      <w:pPr>
        <w:pStyle w:val="ListBullet"/>
      </w:pPr>
      <w:r>
        <w:t>serviços e coberturas adicionais</w:t>
      </w:r>
    </w:p>
    <w:p>
      <w:pPr>
        <w:pStyle w:val="ListBullet"/>
      </w:pPr>
      <w:r>
        <w:t>Doenças e Lesões Preexistentes (DLP)</w:t>
      </w:r>
    </w:p>
    <w:p>
      <w:pPr>
        <w:pStyle w:val="ListBullet"/>
      </w:pPr>
      <w:r>
        <w:t>Cobertura Parcial Temporária (CPT)</w:t>
      </w:r>
    </w:p>
    <w:p>
      <w:pPr>
        <w:pStyle w:val="ListBullet"/>
      </w:pPr>
      <w:r>
        <w:t>agravo</w:t>
      </w:r>
    </w:p>
    <w:p>
      <w:pPr>
        <w:pStyle w:val="ListBullet"/>
      </w:pPr>
      <w:r>
        <w:t>urgência e emergência</w:t>
      </w:r>
    </w:p>
    <w:p>
      <w:pPr>
        <w:pStyle w:val="ListBullet"/>
      </w:pPr>
      <w:r>
        <w:t>CNES</w:t>
      </w:r>
    </w:p>
    <w:p>
      <w:pPr>
        <w:pStyle w:val="ListBullet"/>
      </w:pPr>
      <w:r>
        <w:t>Cadastro de Estabelecimentos de Saúde da ANS</w:t>
      </w:r>
    </w:p>
    <w:p>
      <w:pPr>
        <w:pStyle w:val="ListBullet"/>
      </w:pPr>
      <w:r>
        <w:t>rol de procedimentos em vigor</w:t>
      </w:r>
    </w:p>
    <w:p>
      <w:pPr>
        <w:pStyle w:val="ListBullet"/>
      </w:pPr>
      <w:r>
        <w:t>Classificação Estatística Internacional de Doenças e Problemas Relacionados com a Saúde</w:t>
      </w:r>
    </w:p>
    <w:p>
      <w:pPr>
        <w:pStyle w:val="Heading2"/>
      </w:pPr>
      <w:r>
        <w:t>Procedimentos</w:t>
      </w:r>
    </w:p>
    <w:p>
      <w:pPr>
        <w:pStyle w:val="ListBullet"/>
      </w:pPr>
      <w:r>
        <w:t>envio das informações previstas na regulamentação em vigor por meio do aplicativo de Registro de Planos de Saúde (RPS)</w:t>
      </w:r>
    </w:p>
    <w:p>
      <w:pPr>
        <w:pStyle w:val="ListBullet"/>
      </w:pPr>
      <w:r>
        <w:t>encaminhamento de documento de solicitação de registro de produto, assinado e com identificação do representante da operadora junto à ANS, contendo o Nome Comercial do(s) produto(s) informado(s) no aplicativo</w:t>
      </w:r>
    </w:p>
    <w:p>
      <w:pPr>
        <w:pStyle w:val="ListBullet"/>
      </w:pPr>
      <w:r>
        <w:t>encaminhamento de comprovante de incorporação de informações emitido na 'Verificação de Incorporação de Dados'</w:t>
      </w:r>
    </w:p>
    <w:p>
      <w:pPr>
        <w:pStyle w:val="ListBullet"/>
      </w:pPr>
      <w:r>
        <w:t>recolhimento da Taxa de Saúde Suplementar por Registro de Produto (TRP)</w:t>
      </w:r>
    </w:p>
    <w:p>
      <w:pPr>
        <w:pStyle w:val="ListBullet"/>
      </w:pPr>
      <w:r>
        <w:t>encaminhamento da Nota Técnica de Registro de Produto (NTRP), respeitando a exigência normativa específica</w:t>
      </w:r>
    </w:p>
    <w:p>
      <w:pPr>
        <w:pStyle w:val="ListBullet"/>
      </w:pPr>
      <w:r>
        <w:t>cadastro das informações no aplicativo RPS</w:t>
      </w:r>
    </w:p>
    <w:p>
      <w:pPr>
        <w:pStyle w:val="ListBullet"/>
      </w:pPr>
      <w:r>
        <w:t>análise das solicitações de registro de produtos</w:t>
      </w:r>
    </w:p>
    <w:p>
      <w:pPr>
        <w:pStyle w:val="ListBullet"/>
      </w:pPr>
      <w:r>
        <w:t>ajuste das condições de operação do produto quando imprecisas ou conflitantes com a legislação em vigor</w:t>
      </w:r>
    </w:p>
    <w:p>
      <w:pPr>
        <w:pStyle w:val="ListBullet"/>
      </w:pPr>
      <w:r>
        <w:t>envio de novo arquivo em caso de pendências</w:t>
      </w:r>
    </w:p>
    <w:p>
      <w:pPr>
        <w:pStyle w:val="ListBullet"/>
      </w:pPr>
      <w:r>
        <w:t>incorporação de dados</w:t>
      </w:r>
    </w:p>
    <w:p>
      <w:pPr>
        <w:pStyle w:val="ListBullet"/>
      </w:pPr>
      <w:r>
        <w:t>verificação de requisitos para concessão do registro de produto</w:t>
      </w:r>
    </w:p>
    <w:p>
      <w:pPr>
        <w:pStyle w:val="Heading2"/>
      </w:pPr>
      <w:r>
        <w:t>Recomendações</w:t>
      </w:r>
    </w:p>
    <w:p>
      <w:r>
        <w:t>A documentação incompleta ou em desacordo com os itens será devolvida para que a operadora regularize no prazo de até trinta dias, após a comunicação, contados do recebimento.Para o produto com formação de preço pós-estabelecido não há obrigação de envio da NTRP.Os documentos da NTRP e a declaração de suficiência dos valores estabelecidos para as contraprestações pecuniárias deixam de ser encaminhados, devendo permanecer na operadora pelo período mínimo de cinco anos.Nos planos Coletivos, não poderá haver distinção quanto ao valor da contraprestação pecuniária entre os beneficiários, dependente ou titular, que vierem a ser incluídos no contrato e os a ele já vinculados, dentro de uma mesma faixa etária.Nos planos Individuais ou Familiares, quando ocorrer inclusão de um novo dependente, a contraprestação pecuniária deverá ser cobrada com base em uma das seguintes regras: o valor da tabela de comercialização adotada na contratação do titular, cuja atualização poderá se dar com base nos reajustes autorizados pela ANS aplicados ao contrato; ou o valor da contraprestação pecuniária do titular, ajustado de acordo com as variações entre as faixas etárias apresentadas no contrato, quando for o caso.É vedado estabelecer nomes comerciais que possam confundir ou induzir o beneficiário a erro sobre as características do produto.Todos os prestadores da rede assistencial da operadora de planos de assistência à saúde (entidades hospitalares, consultórios, clínicas ambulatoriais e SADT) devem estar informados no Cadastro de Estabelecimentos de Saúde da ANS.A rede assistencial oferecida aos beneficiários deverá contemplar os serviços necessários ao atendimento de todas as doenças previstas na Classificação Estatística Internacional de Doenças e Problemas Relacionados com a Saúde, observando o rol de procedimentos em vigor.As entidades com assistência hospitalar e os serviços de urgência e emergência necessitam de vinculação à solicitação de registro do plano de saúde de segmentação hospitalar ou referência.No plano de segmentação ambulatorial, apenas as entidades ou serviços de urgência e emergência deverão ser vinculados à solicitação de registro de produto.No envio pelo aplicativo RPS das informações referentes à rede assistencial, deverão ser informados todos os prestadores de serviços, da rede própria e/ou contratualizada, direta ou indiretamente, necessários ao atendimento integral da cobertura prevista nos artigos 10, 10-A, 10-B, 10-C e 12 da Lei n° 9.656, de 1998.Após cientificar-se das pendências, a operadora deverá, no prazo de trinta dias, promover o ajuste das condições de operação do produto quando imprecisas ou conflitantes com a legislação em vigor.Após o envio de novo arquivo e caso a segunda análise continue identificando não cumprimento dos requisitos, será gerado novo relatório de pendências, e a operadora terá a terceira e última oportunidade para cumprí-los no prazo de trinta dias.Ocorrendo a inércia da operadora e vencidos os prazos dispostos no artigo 10 ou, após o terceiro envio as incorreções e/ou insuficiências não tenham sido sanadas, a solicitação será indeferida.Nos contratos de planos coletivos empresariais, a operadora deverá especificar que não haverá cláusula de Cobertura Parcial Temporária ou Agravo, nos casos de Doença e Lesão Preexistente, quando o número de participantes for igual ou maior que trinta, para os beneficiários que formalizarem o pedido de ingresso em até trinta dias da celebração do contrato coletivo ou de sua vinculação a pessoa jurídica contratante.Os contratos de planos médico-hospitalares devem definir urgência e emergência, na forma do artigo 35-C da Lei nº 9.656, de 1998; dispor sobre o atendimento da situação de urgência e emergência de acordo com a segmentação contratada e a garantia de remoção, quando necessária por indicação médica, para outra unidade da operadora ou para o SUS quando não há cobertura para a continuidade do tratamento.Nos contratos de planos ambulatoriais, a operadora deve dispor sobre a garantia de cobertura nas urgências e emergências por, no mínimo, doze horas de atendimento ou até que haja necessidade de internação.O contrato deve dispor que haverá garantia de remoção para unidade de atendimento da rede do plano, depois de realizados os atendimentos classificados como urgência e emergência, quando caracterizada, pelo médico assistente, a falta de recursos oferecidos pela unidade para a continuidade da atenção ao paciente; e garantia de remoção para unidade do SUS, depois de realizados os procedimentos caracterizados como urgência e emergência, quando ultrapassadas as primeiras doze horas ou caracterizada a necessidade de internação.Nos planos que incluem segmentação hospitalar, excetuado o plano referência, o contrato deve dispor sobre a garantia para atendimentos decorrentes de acidentes pessoais, sem restrições, depois de decorridas vinte e quatro horas de vigência do contrato; a garantia de que, depois de cumpridas as carências, haverá cobertura dos atendimentos de urgência e emergência que evoluírem para a internação, desde a admissão até a alta, ou que sejam necessários para a preservação da vida, órgãos e funções; a garantia dos atendimentos de urgência e emergência referentes ao processo gestacional, limitados às primeiras doze horas, nos planos com cobertura obstétrica, durante o cumprimento dos períodos de carência, e nos planos sem cobertura obstétrica; a garantia de atendimento limitado às primeiras doze horas, ou até que ocorra a necessidade de internação, nos casos em que houver acordo de Cobertura Parcial Temporária e que resultem na necessidade de eventos cirúrgicos, leitos de alta tecnologia e procedimentos de alta complexidade relacionados às Doenças e Lesões Preexistentes.</w:t>
      </w:r>
    </w:p>
    <w:p>
      <w:pPr>
        <w:pStyle w:val="Heading2"/>
      </w:pPr>
      <w:r>
        <w:t>Nota de transparência</w:t>
      </w:r>
    </w:p>
    <w:p>
      <w:r>
        <w:t>Este documento é uma síntese gerada automaticamente a partir da fonte indicada acima. Origem dos metadados: ia_deepseek. Data de processamento: 2026-10-04T01:32:56.995817+00:00.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ans nº 28, de 16 de dezembro de 2022</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