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Tabeladominioans tabelas de domínio do padrão tiss   versão 3.02.00</w:t>
      </w:r>
    </w:p>
    <w:p>
      <w:pPr>
        <w:pStyle w:val="Heading2"/>
      </w:pPr>
      <w:r>
        <w:t>Fonte original</w:t>
      </w:r>
    </w:p>
    <w:p>
      <w:r>
        <w:t>Instituição: não identificado na fonte</w:t>
      </w:r>
    </w:p>
    <w:p>
      <w:r>
        <w:t>Ano de publicação: não identificado na fonte</w:t>
      </w:r>
    </w:p>
    <w:p>
      <w:r>
        <w:t>Tipo documental: GOVERNMENT_DOCUMENT</w:t>
      </w:r>
    </w:p>
    <w:p>
      <w:r>
        <w:t>Identificador da fonte (ID interno): doc-993477459831</w:t>
      </w:r>
    </w:p>
    <w:p>
      <w:pPr>
        <w:pStyle w:val="Heading2"/>
      </w:pPr>
      <w:r>
        <w:t>Resumo</w:t>
      </w:r>
    </w:p>
    <w:p>
      <w:r>
        <w:t>Tabelas de domínio do Padrão TISS versão 3.02.00, incluindo tabelas de caráter do atendimento, CBO, código de despesa, conselho profissional, dentes, diagnóstico por imagem, escalas, estadiamento, faces do dente, finalidade do tratamento, grau de participação, indicador de acidente, glosas, motivo de encerramento, regime de internação, regiões da boca, sexo, situação dentária inicial, status da solicitação, status do cancelamento, status da guia e do protocolo, técnica utilizada, tipo de acomodação, tipo de atendimento, tipo de atendimento em odontologia, tipo de consulta, tipo de faturamento, tipo de internação, tipo de quimioterapia, unidade de medida, via de acesso, via de administração e tabelas. O trecho final lista códigos de glosas relacionadas a medicamentos, OPME, gases medicinais e taxas.</w:t>
      </w:r>
    </w:p>
    <w:p>
      <w:pPr>
        <w:pStyle w:val="Heading2"/>
      </w:pPr>
      <w:r>
        <w:t>Conceitos fundamentais</w:t>
      </w:r>
    </w:p>
    <w:p>
      <w:pPr>
        <w:pStyle w:val="ListBullet"/>
      </w:pPr>
      <w:r>
        <w:t>Padrão TISS</w:t>
      </w:r>
    </w:p>
    <w:p>
      <w:pPr>
        <w:pStyle w:val="ListBullet"/>
      </w:pPr>
      <w:r>
        <w:t>Tabelas de domínio</w:t>
      </w:r>
    </w:p>
    <w:p>
      <w:pPr>
        <w:pStyle w:val="ListBullet"/>
      </w:pPr>
      <w:r>
        <w:t>Caráter do atendimento</w:t>
      </w:r>
    </w:p>
    <w:p>
      <w:pPr>
        <w:pStyle w:val="ListBullet"/>
      </w:pPr>
      <w:r>
        <w:t>Código Brasileiro de Ocupação (CBO)</w:t>
      </w:r>
    </w:p>
    <w:p>
      <w:pPr>
        <w:pStyle w:val="ListBullet"/>
      </w:pPr>
      <w:r>
        <w:t>Código da despesa</w:t>
      </w:r>
    </w:p>
    <w:p>
      <w:pPr>
        <w:pStyle w:val="ListBullet"/>
      </w:pPr>
      <w:r>
        <w:t>Conselho profissional</w:t>
      </w:r>
    </w:p>
    <w:p>
      <w:pPr>
        <w:pStyle w:val="ListBullet"/>
      </w:pPr>
      <w:r>
        <w:t>Glosas</w:t>
      </w:r>
    </w:p>
    <w:p>
      <w:pPr>
        <w:pStyle w:val="ListBullet"/>
      </w:pPr>
      <w:r>
        <w:t>OPME</w:t>
      </w:r>
    </w:p>
    <w:p>
      <w:pPr>
        <w:pStyle w:val="ListBullet"/>
      </w:pPr>
      <w:r>
        <w:t>Gases medicinais</w:t>
      </w:r>
    </w:p>
    <w:p>
      <w:pPr>
        <w:pStyle w:val="ListBullet"/>
      </w:pPr>
      <w:r>
        <w:t>Taxas e aluguéis</w:t>
      </w:r>
    </w:p>
    <w:p>
      <w:pPr>
        <w:pStyle w:val="Heading2"/>
      </w:pPr>
      <w:r>
        <w:t>Equipamentos</w:t>
      </w:r>
    </w:p>
    <w:p>
      <w:pPr>
        <w:pStyle w:val="ListBullet"/>
      </w:pPr>
      <w:r>
        <w:t>Bomba de infusão</w:t>
      </w:r>
    </w:p>
    <w:p>
      <w:pPr>
        <w:pStyle w:val="Heading2"/>
      </w:pPr>
      <w:r>
        <w:t>Escalas</w:t>
      </w:r>
    </w:p>
    <w:p>
      <w:pPr>
        <w:pStyle w:val="ListBullet"/>
      </w:pPr>
      <w:r>
        <w:t>Escala de Capacidade Funcional (ECOG - Escala de Zubrod)</w:t>
      </w:r>
    </w:p>
    <w:p>
      <w:pPr>
        <w:pStyle w:val="Heading2"/>
      </w:pPr>
      <w:r>
        <w:t>Nota de transparência</w:t>
      </w:r>
    </w:p>
    <w:p>
      <w:r>
        <w:t>Este documento é uma síntese gerada automaticamente a partir da fonte indicada acima. Origem dos metadados: ia_deepseek. Data de processamento: 2026-10-04T01:33:03.230447+00:00.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Tabeladominioans tabelas de domínio do padrão tiss   versão 3.02.00</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