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Src anvisa rdc50 2002</w:t>
      </w:r>
    </w:p>
    <w:p>
      <w:pPr>
        <w:pStyle w:val="Heading2"/>
      </w:pPr>
      <w:r>
        <w:t>Fonte original</w:t>
      </w:r>
    </w:p>
    <w:p>
      <w:r>
        <w:t>Instituição: Ministério da Saúde</w:t>
      </w:r>
    </w:p>
    <w:p>
      <w:r>
        <w:t>Ano de publicação: 2002</w:t>
      </w:r>
    </w:p>
    <w:p>
      <w:r>
        <w:t>Tipo documental: GOVERNMENT_DOCUMENT</w:t>
      </w:r>
    </w:p>
    <w:p>
      <w:r>
        <w:t>Identificador da fonte (ID interno): doc-c60d8fe68b77</w:t>
      </w:r>
    </w:p>
    <w:p>
      <w:pPr>
        <w:pStyle w:val="Heading2"/>
      </w:pPr>
      <w:r>
        <w:t>Resumo</w:t>
      </w:r>
    </w:p>
    <w:p>
      <w:r>
        <w:t>A Resolução RDC nº 50/2002 da ANVISA aprova o Regulamento Técnico destinado ao planejamento, programação, elaboração, avaliação e aprovação de projetos físicos de estabelecimentos assistenciais de saúde, a ser observado em todo território nacional, na área pública e privada, abrangendo construções novas, ampliações e reformas.</w:t>
      </w:r>
    </w:p>
    <w:p>
      <w:pPr>
        <w:pStyle w:val="Heading2"/>
      </w:pPr>
      <w:r>
        <w:t>Conceitos fundamentais</w:t>
      </w:r>
    </w:p>
    <w:p>
      <w:pPr>
        <w:pStyle w:val="ListBullet"/>
      </w:pPr>
      <w:r>
        <w:t>Programa de Necessidades</w:t>
      </w:r>
    </w:p>
    <w:p>
      <w:pPr>
        <w:pStyle w:val="ListBullet"/>
      </w:pPr>
      <w:r>
        <w:t>Estudo Preliminar</w:t>
      </w:r>
    </w:p>
    <w:p>
      <w:pPr>
        <w:pStyle w:val="ListBullet"/>
      </w:pPr>
      <w:r>
        <w:t>Projeto Básico</w:t>
      </w:r>
    </w:p>
    <w:p>
      <w:pPr>
        <w:pStyle w:val="ListBullet"/>
      </w:pPr>
      <w:r>
        <w:t>Projeto Executivo</w:t>
      </w:r>
    </w:p>
    <w:p>
      <w:pPr>
        <w:pStyle w:val="ListBullet"/>
      </w:pPr>
      <w:r>
        <w:t>Obra de Reforma</w:t>
      </w:r>
    </w:p>
    <w:p>
      <w:pPr>
        <w:pStyle w:val="ListBullet"/>
      </w:pPr>
      <w:r>
        <w:t>Obra de Ampliação</w:t>
      </w:r>
    </w:p>
    <w:p>
      <w:pPr>
        <w:pStyle w:val="ListBullet"/>
      </w:pPr>
      <w:r>
        <w:t>Obra Inacabada</w:t>
      </w:r>
    </w:p>
    <w:p>
      <w:pPr>
        <w:pStyle w:val="ListBullet"/>
      </w:pPr>
      <w:r>
        <w:t>Obra de Recuperação</w:t>
      </w:r>
    </w:p>
    <w:p>
      <w:pPr>
        <w:pStyle w:val="ListBullet"/>
      </w:pPr>
      <w:r>
        <w:t>Obra Nova</w:t>
      </w:r>
    </w:p>
    <w:p>
      <w:pPr>
        <w:pStyle w:val="ListBullet"/>
      </w:pPr>
      <w:r>
        <w:t>Estabelecimentos Assistenciais de Saúde (EAS)</w:t>
      </w:r>
    </w:p>
    <w:p>
      <w:pPr>
        <w:pStyle w:val="ListBullet"/>
      </w:pPr>
      <w:r>
        <w:t>Unidade Funcional</w:t>
      </w:r>
    </w:p>
    <w:p>
      <w:pPr>
        <w:pStyle w:val="ListBullet"/>
      </w:pPr>
      <w:r>
        <w:t>Apoio Logístico</w:t>
      </w:r>
    </w:p>
    <w:p>
      <w:pPr>
        <w:pStyle w:val="ListBullet"/>
      </w:pPr>
      <w:r>
        <w:t>Necrotério</w:t>
      </w:r>
    </w:p>
    <w:p>
      <w:pPr>
        <w:pStyle w:val="ListBullet"/>
      </w:pPr>
      <w:r>
        <w:t>Conforto e Higiene</w:t>
      </w:r>
    </w:p>
    <w:p>
      <w:pPr>
        <w:pStyle w:val="Heading2"/>
      </w:pPr>
      <w:r>
        <w:t>Procedimentos</w:t>
      </w:r>
    </w:p>
    <w:p>
      <w:pPr>
        <w:pStyle w:val="ListBullet"/>
      </w:pPr>
      <w:r>
        <w:t>Elaboração de projetos físicos de estabelecimentos assistenciais de saúde</w:t>
      </w:r>
    </w:p>
    <w:p>
      <w:pPr>
        <w:pStyle w:val="ListBullet"/>
      </w:pPr>
      <w:r>
        <w:t>Planejamento, programação, elaboração, avaliação e aprovação de projetos físicos</w:t>
      </w:r>
    </w:p>
    <w:p>
      <w:pPr>
        <w:pStyle w:val="ListBullet"/>
      </w:pPr>
      <w:r>
        <w:t>Desenvolvimento de projetos em três etapas: estudo preliminar, projeto básico e projeto executivo</w:t>
      </w:r>
    </w:p>
    <w:p>
      <w:pPr>
        <w:pStyle w:val="ListBullet"/>
      </w:pPr>
      <w:r>
        <w:t>Análise e escolha da solução que melhor responda ao Programa de Necessidades</w:t>
      </w:r>
    </w:p>
    <w:p>
      <w:pPr>
        <w:pStyle w:val="ListBullet"/>
      </w:pPr>
      <w:r>
        <w:t>Revelação de filmes e chapas</w:t>
      </w:r>
    </w:p>
    <w:p>
      <w:pPr>
        <w:pStyle w:val="ListBullet"/>
      </w:pPr>
      <w:r>
        <w:t>Processamento de chapas de Raios X</w:t>
      </w:r>
    </w:p>
    <w:p>
      <w:pPr>
        <w:pStyle w:val="ListBullet"/>
      </w:pPr>
      <w:r>
        <w:t>Manutenção de equipamentos, mobiliário e utensílios</w:t>
      </w:r>
    </w:p>
    <w:p>
      <w:pPr>
        <w:pStyle w:val="ListBullet"/>
      </w:pPr>
      <w:r>
        <w:t>Preparo e guarda de cadáver</w:t>
      </w:r>
    </w:p>
    <w:p>
      <w:pPr>
        <w:pStyle w:val="ListBullet"/>
      </w:pPr>
      <w:r>
        <w:t>Embarque de carro funerário</w:t>
      </w:r>
    </w:p>
    <w:p>
      <w:pPr>
        <w:pStyle w:val="Heading2"/>
      </w:pPr>
      <w:r>
        <w:t>Equipamentos</w:t>
      </w:r>
    </w:p>
    <w:p>
      <w:pPr>
        <w:pStyle w:val="ListBullet"/>
      </w:pPr>
      <w:r>
        <w:t>Processadoras de chapas de Raios X</w:t>
      </w:r>
    </w:p>
    <w:p>
      <w:pPr>
        <w:pStyle w:val="ListBullet"/>
      </w:pPr>
      <w:r>
        <w:t>Macas</w:t>
      </w:r>
    </w:p>
    <w:p>
      <w:pPr>
        <w:pStyle w:val="ListBullet"/>
      </w:pPr>
      <w:r>
        <w:t>Cadeira de rodas</w:t>
      </w:r>
    </w:p>
    <w:p>
      <w:pPr>
        <w:pStyle w:val="ListBullet"/>
      </w:pPr>
      <w:r>
        <w:t>Carro para transporte de recém-nascidos</w:t>
      </w:r>
    </w:p>
    <w:p>
      <w:pPr>
        <w:pStyle w:val="Heading2"/>
      </w:pPr>
      <w:r>
        <w:t>Recomendações</w:t>
      </w:r>
    </w:p>
    <w:p>
      <w:r>
        <w:t>Todos os projetos de estabelecimentos assistenciais de saúde deverão obrigatoriamente ser elaborados em conformidade com as disposições desta norma.Devem ainda atender a todas outras prescrições pertinentes ao objeto desta norma estabelecidas em códigos, leis, decretos, portarias e normas federais, estaduais e municipais, inclusive normas de concessionárias de serviços públicos.Devem ser sempre consideradas as últimas edições ou substitutivas de todas as legislações ou normas utilizadas ou citadas neste documento.Embora exista uma hierarquia entre as três esferas, o autor ou o avaliador do projeto deverá considerar a prescrição mais exigente, que eventualmente poderá não ser a do órgão de hierarquia superior.</w:t>
      </w:r>
    </w:p>
    <w:p>
      <w:pPr>
        <w:pStyle w:val="Heading2"/>
      </w:pPr>
      <w:r>
        <w:t>Nota de transparência</w:t>
      </w:r>
    </w:p>
    <w:p>
      <w:r>
        <w:t>Este documento é uma síntese gerada automaticamente a partir da fonte indicada acima. Origem dos metadados: ia_deepseek. Data de processamento: 2026-10-04T14:05:18.636571+00:00.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Src anvisa rdc50 2002</dc:title>
  <dc:subject/>
  <dc:creator>Ministério da Saúde</dc:creator>
  <cp:keywords/>
  <dc:description>generated by python-docx</dc:description>
  <cp:lastModifiedBy/>
  <cp:revision>1</cp:revision>
  <dcterms:created xsi:type="dcterms:W3CDTF">2013-12-23T23:15:00Z</dcterms:created>
  <dcterms:modified xsi:type="dcterms:W3CDTF">2013-12-23T23:15:00Z</dcterms:modified>
  <cp:category/>
</cp:coreProperties>
</file>