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Src br suicidio 13819</w:t>
      </w:r>
    </w:p>
    <w:p>
      <w:pPr>
        <w:pStyle w:val="Heading2"/>
      </w:pPr>
      <w:r>
        <w:t>Fonte original</w:t>
      </w:r>
    </w:p>
    <w:p>
      <w:r>
        <w:t>Instituição: não identificado na fonte</w:t>
      </w:r>
    </w:p>
    <w:p>
      <w:r>
        <w:t>Ano de publicação: não identificado na fonte</w:t>
      </w:r>
    </w:p>
    <w:p>
      <w:r>
        <w:t>Tipo documental: GOVERNMENT_DOCUMENT</w:t>
      </w:r>
    </w:p>
    <w:p>
      <w:r>
        <w:t>Identificador da fonte (ID interno): doc-dfec54e73fa6</w:t>
      </w:r>
    </w:p>
    <w:p>
      <w:pPr>
        <w:pStyle w:val="Heading2"/>
      </w:pPr>
      <w:r>
        <w:t>Resumo</w:t>
      </w:r>
    </w:p>
    <w:p>
      <w:r>
        <w:t>Institui a Política Nacional de Prevenção da Automutilação e do Suicídio, a ser implementada pela União, em cooperação com os Estados, o Distrito Federal e os Municípios, e altera a Lei nº 9.656, de 3 de junho de 1998.</w:t>
      </w:r>
    </w:p>
    <w:p>
      <w:pPr>
        <w:pStyle w:val="Heading2"/>
      </w:pPr>
      <w:r>
        <w:t>Conceitos fundamentais</w:t>
      </w:r>
    </w:p>
    <w:p>
      <w:pPr>
        <w:pStyle w:val="ListBullet"/>
      </w:pPr>
      <w:r>
        <w:t>Política Nacional de Prevenção da Automutilação e do Suicídio</w:t>
      </w:r>
    </w:p>
    <w:p>
      <w:pPr>
        <w:pStyle w:val="ListBullet"/>
      </w:pPr>
      <w:r>
        <w:t>violência autoprovocada</w:t>
      </w:r>
    </w:p>
    <w:p>
      <w:pPr>
        <w:pStyle w:val="ListBullet"/>
      </w:pPr>
      <w:r>
        <w:t>suicídio consumado</w:t>
      </w:r>
    </w:p>
    <w:p>
      <w:pPr>
        <w:pStyle w:val="ListBullet"/>
      </w:pPr>
      <w:r>
        <w:t>tentativa de suicídio</w:t>
      </w:r>
    </w:p>
    <w:p>
      <w:pPr>
        <w:pStyle w:val="ListBullet"/>
      </w:pPr>
      <w:r>
        <w:t>automutilação</w:t>
      </w:r>
    </w:p>
    <w:p>
      <w:pPr>
        <w:pStyle w:val="ListBullet"/>
      </w:pPr>
      <w:r>
        <w:t>ideação suicida</w:t>
      </w:r>
    </w:p>
    <w:p>
      <w:pPr>
        <w:pStyle w:val="ListBullet"/>
      </w:pPr>
      <w:r>
        <w:t>sofrimento psíquico</w:t>
      </w:r>
    </w:p>
    <w:p>
      <w:pPr>
        <w:pStyle w:val="ListBullet"/>
      </w:pPr>
      <w:r>
        <w:t>notificação compulsória</w:t>
      </w:r>
    </w:p>
    <w:p>
      <w:pPr>
        <w:pStyle w:val="ListBullet"/>
      </w:pPr>
      <w:r>
        <w:t>saúde mental</w:t>
      </w:r>
    </w:p>
    <w:p>
      <w:pPr>
        <w:pStyle w:val="ListBullet"/>
      </w:pPr>
      <w:r>
        <w:t>atenção psicossocial</w:t>
      </w:r>
    </w:p>
    <w:p>
      <w:pPr>
        <w:pStyle w:val="ListBullet"/>
      </w:pPr>
      <w:r>
        <w:t>educação permanente</w:t>
      </w:r>
    </w:p>
    <w:p>
      <w:pPr>
        <w:pStyle w:val="Heading2"/>
      </w:pPr>
      <w:r>
        <w:t>Procedimentos</w:t>
      </w:r>
    </w:p>
    <w:p>
      <w:pPr>
        <w:pStyle w:val="ListBullet"/>
      </w:pPr>
      <w:r>
        <w:t>notificação compulsória de casos suspeitos ou confirmados de violência autoprovocada</w:t>
      </w:r>
    </w:p>
    <w:p>
      <w:pPr>
        <w:pStyle w:val="ListBullet"/>
      </w:pPr>
      <w:r>
        <w:t>comunicação à autoridade sanitária sobre conclusão de inquérito policial em casos de suspeita de suicídio</w:t>
      </w:r>
    </w:p>
    <w:p>
      <w:pPr>
        <w:pStyle w:val="ListBullet"/>
      </w:pPr>
      <w:r>
        <w:t>informar e treinar profissionais de estabelecimentos de saúde sobre procedimentos de notificação</w:t>
      </w:r>
    </w:p>
    <w:p>
      <w:pPr>
        <w:pStyle w:val="ListBullet"/>
      </w:pPr>
      <w:r>
        <w:t>informar e treinar profissionais de estabelecimentos de ensino sobre procedimentos de notificação</w:t>
      </w:r>
    </w:p>
    <w:p>
      <w:pPr>
        <w:pStyle w:val="ListBullet"/>
      </w:pPr>
      <w:r>
        <w:t>comunicação entre conselho tutelar e autoridade sanitária</w:t>
      </w:r>
    </w:p>
    <w:p>
      <w:pPr>
        <w:pStyle w:val="ListBullet"/>
      </w:pPr>
      <w:r>
        <w:t>comunicação imediata à autoridade sanitária competente por conselhos de defesa dos direitos da pessoa com deficiência</w:t>
      </w:r>
    </w:p>
    <w:p>
      <w:pPr>
        <w:pStyle w:val="Heading2"/>
      </w:pPr>
      <w:r>
        <w:t>Intervenções</w:t>
      </w:r>
    </w:p>
    <w:p>
      <w:pPr>
        <w:pStyle w:val="ListBullet"/>
      </w:pPr>
      <w:r>
        <w:t>promover a saúde mental</w:t>
      </w:r>
    </w:p>
    <w:p>
      <w:pPr>
        <w:pStyle w:val="ListBullet"/>
      </w:pPr>
      <w:r>
        <w:t>prevenir a violência autoprovocada</w:t>
      </w:r>
    </w:p>
    <w:p>
      <w:pPr>
        <w:pStyle w:val="ListBullet"/>
      </w:pPr>
      <w:r>
        <w:t>controlar os fatores determinantes e condicionantes da saúde mental</w:t>
      </w:r>
    </w:p>
    <w:p>
      <w:pPr>
        <w:pStyle w:val="ListBullet"/>
      </w:pPr>
      <w:r>
        <w:t>garantir o acesso à atenção psicossocial</w:t>
      </w:r>
    </w:p>
    <w:p>
      <w:pPr>
        <w:pStyle w:val="ListBullet"/>
      </w:pPr>
      <w:r>
        <w:t>abordar adequadamente os familiares e as pessoas próximas das vítimas de suicídio e garantir-lhes assistência psicossocial</w:t>
      </w:r>
    </w:p>
    <w:p>
      <w:pPr>
        <w:pStyle w:val="ListBullet"/>
      </w:pPr>
      <w:r>
        <w:t>informar e sensibilizar a sociedade sobre a importância e a relevância das lesões autoprovocadas como problemas de saúde pública passíveis de prevenção</w:t>
      </w:r>
    </w:p>
    <w:p>
      <w:pPr>
        <w:pStyle w:val="ListBullet"/>
      </w:pPr>
      <w:r>
        <w:t>promover a articulação intersetorial para a prevenção do suicídio</w:t>
      </w:r>
    </w:p>
    <w:p>
      <w:pPr>
        <w:pStyle w:val="ListBullet"/>
      </w:pPr>
      <w:r>
        <w:t>promover a notificação de eventos e o desenvolvimento e o aprimoramento de métodos de coleta e análise de dados</w:t>
      </w:r>
    </w:p>
    <w:p>
      <w:pPr>
        <w:pStyle w:val="ListBullet"/>
      </w:pPr>
      <w:r>
        <w:t>promover a educação permanente de gestores e de profissionais de saúde</w:t>
      </w:r>
    </w:p>
    <w:p>
      <w:pPr>
        <w:pStyle w:val="ListBullet"/>
      </w:pPr>
      <w:r>
        <w:t>considerar as características e as necessidades das pessoas psicossocialmente mais vulneráveis</w:t>
      </w:r>
    </w:p>
    <w:p>
      <w:pPr>
        <w:pStyle w:val="ListBullet"/>
      </w:pPr>
      <w:r>
        <w:t>manter serviço telefônico para atendimento gratuito e sigiloso</w:t>
      </w:r>
    </w:p>
    <w:p>
      <w:pPr>
        <w:pStyle w:val="ListBullet"/>
      </w:pPr>
      <w:r>
        <w:t>adotar outras formas de comunicação</w:t>
      </w:r>
    </w:p>
    <w:p>
      <w:pPr>
        <w:pStyle w:val="ListBullet"/>
      </w:pPr>
      <w:r>
        <w:t>celebrar parcerias com empresas provedoras de conteúdo digital, mecanismos de pesquisa da internet, gerenciadores de mídias sociais</w:t>
      </w:r>
    </w:p>
    <w:p>
      <w:pPr>
        <w:pStyle w:val="Heading2"/>
      </w:pPr>
      <w:r>
        <w:t>Nota de transparência</w:t>
      </w:r>
    </w:p>
    <w:p>
      <w:r>
        <w:t>Este documento é uma síntese gerada automaticamente a partir da fonte indicada acima. Origem dos metadados: ia_deepseek. Data de processamento: 2026-10-04T14:05:40.572159+00:00.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Src br suicidio 13819</dc:title>
  <dc:subject>saude_mental</dc:subject>
  <dc:creator/>
  <cp:keywords>saude_mental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