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Src eu trauma bleed 2023</w:t>
      </w:r>
    </w:p>
    <w:p>
      <w:pPr>
        <w:pStyle w:val="Heading2"/>
      </w:pPr>
      <w:r>
        <w:t>Fonte original</w:t>
      </w:r>
    </w:p>
    <w:p>
      <w:r>
        <w:t>Instituição: não identificado na fonte</w:t>
      </w:r>
    </w:p>
    <w:p>
      <w:r>
        <w:t>Ano de publicação: 2023</w:t>
      </w:r>
    </w:p>
    <w:p>
      <w:r>
        <w:t>Tipo documental: GOVERNMENT_DOCUMENT</w:t>
      </w:r>
    </w:p>
    <w:p>
      <w:r>
        <w:t>Identificador da fonte (ID interno): doc-c40dfb7bd5f1</w:t>
      </w:r>
    </w:p>
    <w:p>
      <w:pPr>
        <w:pStyle w:val="Heading2"/>
      </w:pPr>
      <w:r>
        <w:t>Resumo</w:t>
      </w:r>
    </w:p>
    <w:p>
      <w:r>
        <w:t>This sixth edition of the European guideline on the management of major bleeding and coagulopathy following traumatic injury aims to advise clinicians who care for the bleeding trauma patient during the initial diagnostic and therapeutic phases of patient management. It comprises 39 clinical practice recommendations that follow an approximate temporal path for management of the bleeding trauma patient, with recommendations grouped behind key decision points.</w:t>
      </w:r>
    </w:p>
    <w:p>
      <w:pPr>
        <w:pStyle w:val="Heading2"/>
      </w:pPr>
      <w:r>
        <w:t>Conceitos fundamentais</w:t>
      </w:r>
    </w:p>
    <w:p>
      <w:pPr>
        <w:pStyle w:val="ListBullet"/>
      </w:pPr>
      <w:r>
        <w:t>Traumatic coagulopathy</w:t>
      </w:r>
    </w:p>
    <w:p>
      <w:pPr>
        <w:pStyle w:val="ListBullet"/>
      </w:pPr>
      <w:r>
        <w:t>Major bleeding</w:t>
      </w:r>
    </w:p>
    <w:p>
      <w:pPr>
        <w:pStyle w:val="ListBullet"/>
      </w:pPr>
      <w:r>
        <w:t>Haemostasis</w:t>
      </w:r>
    </w:p>
    <w:p>
      <w:pPr>
        <w:pStyle w:val="ListBullet"/>
      </w:pPr>
      <w:r>
        <w:t>Post-traumatic bleeding</w:t>
      </w:r>
    </w:p>
    <w:p>
      <w:pPr>
        <w:pStyle w:val="ListBullet"/>
      </w:pPr>
      <w:r>
        <w:t>Preventable multiorgan failure</w:t>
      </w:r>
    </w:p>
    <w:p>
      <w:pPr>
        <w:pStyle w:val="ListBullet"/>
      </w:pPr>
      <w:r>
        <w:t>Preventable death</w:t>
      </w:r>
    </w:p>
    <w:p>
      <w:pPr>
        <w:pStyle w:val="ListBullet"/>
      </w:pPr>
      <w:r>
        <w:t>Coagulopathic state</w:t>
      </w:r>
    </w:p>
    <w:p>
      <w:pPr>
        <w:pStyle w:val="ListBullet"/>
      </w:pPr>
      <w:r>
        <w:t>Systematic diagnostic and therapeutic approach</w:t>
      </w:r>
    </w:p>
    <w:p>
      <w:pPr>
        <w:pStyle w:val="ListBullet"/>
      </w:pPr>
      <w:r>
        <w:t>Multidisciplinary approach</w:t>
      </w:r>
    </w:p>
    <w:p>
      <w:pPr>
        <w:pStyle w:val="ListBullet"/>
      </w:pPr>
      <w:r>
        <w:t>Evidence-based guidelines</w:t>
      </w:r>
    </w:p>
    <w:p>
      <w:pPr>
        <w:pStyle w:val="ListBullet"/>
      </w:pPr>
      <w:r>
        <w:t>Thromboprophylaxis</w:t>
      </w:r>
    </w:p>
    <w:p>
      <w:pPr>
        <w:pStyle w:val="ListBullet"/>
      </w:pPr>
      <w:r>
        <w:t>Viscoelastic coagulation tests</w:t>
      </w:r>
    </w:p>
    <w:p>
      <w:pPr>
        <w:pStyle w:val="ListBullet"/>
      </w:pPr>
      <w:r>
        <w:t>Platelet function evaluation</w:t>
      </w:r>
    </w:p>
    <w:p>
      <w:pPr>
        <w:pStyle w:val="Heading2"/>
      </w:pPr>
      <w:r>
        <w:t>Procedimentos</w:t>
      </w:r>
    </w:p>
    <w:p>
      <w:pPr>
        <w:pStyle w:val="ListBullet"/>
      </w:pPr>
      <w:r>
        <w:t>Structured literature searches</w:t>
      </w:r>
    </w:p>
    <w:p>
      <w:pPr>
        <w:pStyle w:val="ListBullet"/>
      </w:pPr>
      <w:r>
        <w:t>PICO format</w:t>
      </w:r>
    </w:p>
    <w:p>
      <w:pPr>
        <w:pStyle w:val="ListBullet"/>
      </w:pPr>
      <w:r>
        <w:t>Literature search bundles</w:t>
      </w:r>
    </w:p>
    <w:p>
      <w:pPr>
        <w:pStyle w:val="ListBullet"/>
      </w:pPr>
      <w:r>
        <w:t>Structured search strategies</w:t>
      </w:r>
    </w:p>
    <w:p>
      <w:pPr>
        <w:pStyle w:val="ListBullet"/>
      </w:pPr>
      <w:r>
        <w:t>Combined pharmacological and IPC thromboprophylaxis</w:t>
      </w:r>
    </w:p>
    <w:p>
      <w:pPr>
        <w:pStyle w:val="ListBullet"/>
      </w:pPr>
      <w:r>
        <w:t>Viscoelastic coagulation tests</w:t>
      </w:r>
    </w:p>
    <w:p>
      <w:pPr>
        <w:pStyle w:val="ListBullet"/>
      </w:pPr>
      <w:r>
        <w:t>Platelet function evaluation</w:t>
      </w:r>
    </w:p>
    <w:p>
      <w:pPr>
        <w:pStyle w:val="Heading2"/>
      </w:pPr>
      <w:r>
        <w:t>Medicamentos</w:t>
      </w:r>
    </w:p>
    <w:p>
      <w:pPr>
        <w:pStyle w:val="ListBullet"/>
      </w:pPr>
      <w:r>
        <w:t>Andexanet alfa</w:t>
      </w:r>
    </w:p>
    <w:p>
      <w:pPr>
        <w:pStyle w:val="ListBullet"/>
      </w:pPr>
      <w:r>
        <w:t>Four-factor PCC</w:t>
      </w:r>
    </w:p>
    <w:p>
      <w:pPr>
        <w:pStyle w:val="ListBullet"/>
      </w:pPr>
      <w:r>
        <w:t>PCC</w:t>
      </w:r>
    </w:p>
    <w:p>
      <w:pPr>
        <w:pStyle w:val="ListBullet"/>
      </w:pPr>
      <w:r>
        <w:t>Aspirin</w:t>
      </w:r>
    </w:p>
    <w:p>
      <w:pPr>
        <w:pStyle w:val="ListBullet"/>
      </w:pPr>
      <w:r>
        <w:t>Clopidogrel</w:t>
      </w:r>
    </w:p>
    <w:p>
      <w:pPr>
        <w:pStyle w:val="ListBullet"/>
      </w:pPr>
      <w:r>
        <w:t>Rivaroxaban</w:t>
      </w:r>
    </w:p>
    <w:p>
      <w:pPr>
        <w:pStyle w:val="ListBullet"/>
      </w:pPr>
      <w:r>
        <w:t>Apixaban</w:t>
      </w:r>
    </w:p>
    <w:p>
      <w:pPr>
        <w:pStyle w:val="ListBullet"/>
      </w:pPr>
      <w:r>
        <w:t>Edoxaban</w:t>
      </w:r>
    </w:p>
    <w:p>
      <w:pPr>
        <w:pStyle w:val="Heading2"/>
      </w:pPr>
      <w:r>
        <w:t>Equipamentos</w:t>
      </w:r>
    </w:p>
    <w:p>
      <w:pPr>
        <w:pStyle w:val="ListBullet"/>
      </w:pPr>
      <w:r>
        <w:t>ROTEM</w:t>
      </w:r>
    </w:p>
    <w:p>
      <w:pPr>
        <w:pStyle w:val="ListBullet"/>
      </w:pPr>
      <w:r>
        <w:t>ClotPro</w:t>
      </w:r>
    </w:p>
    <w:p>
      <w:pPr>
        <w:pStyle w:val="ListBullet"/>
      </w:pPr>
      <w:r>
        <w:t>Graduated compression stockings</w:t>
      </w:r>
    </w:p>
    <w:p>
      <w:pPr>
        <w:pStyle w:val="ListBullet"/>
      </w:pPr>
      <w:r>
        <w:t>Inferior vena cava filters</w:t>
      </w:r>
    </w:p>
    <w:p>
      <w:pPr>
        <w:pStyle w:val="Heading2"/>
      </w:pPr>
      <w:r>
        <w:t>Diagnósticos</w:t>
      </w:r>
    </w:p>
    <w:p>
      <w:pPr>
        <w:pStyle w:val="ListBullet"/>
      </w:pPr>
      <w:r>
        <w:t>Traumatic coagulopathy</w:t>
      </w:r>
    </w:p>
    <w:p>
      <w:pPr>
        <w:pStyle w:val="ListBullet"/>
      </w:pPr>
      <w:r>
        <w:t>Major bleeding</w:t>
      </w:r>
    </w:p>
    <w:p>
      <w:pPr>
        <w:pStyle w:val="ListBullet"/>
      </w:pPr>
      <w:r>
        <w:t>Intracerebral haemorrhage</w:t>
      </w:r>
    </w:p>
    <w:p>
      <w:pPr>
        <w:pStyle w:val="ListBullet"/>
      </w:pPr>
      <w:r>
        <w:t>Acute major bleeding</w:t>
      </w:r>
    </w:p>
    <w:p>
      <w:pPr>
        <w:pStyle w:val="Heading2"/>
      </w:pPr>
      <w:r>
        <w:t>Intervenções</w:t>
      </w:r>
    </w:p>
    <w:p>
      <w:pPr>
        <w:pStyle w:val="ListBullet"/>
      </w:pPr>
      <w:r>
        <w:t>Immediate detection and management of traumatic coagulopathy</w:t>
      </w:r>
    </w:p>
    <w:p>
      <w:pPr>
        <w:pStyle w:val="ListBullet"/>
      </w:pPr>
      <w:r>
        <w:t>Optimisation of resources for bleeding control</w:t>
      </w:r>
    </w:p>
    <w:p>
      <w:pPr>
        <w:pStyle w:val="ListBullet"/>
      </w:pPr>
      <w:r>
        <w:t>Empirical management</w:t>
      </w:r>
    </w:p>
    <w:p>
      <w:pPr>
        <w:pStyle w:val="ListBullet"/>
      </w:pPr>
      <w:r>
        <w:t>Organisation of the resuscitation team</w:t>
      </w:r>
    </w:p>
    <w:p>
      <w:pPr>
        <w:pStyle w:val="ListBullet"/>
      </w:pPr>
      <w:r>
        <w:t>Combined pharmacological and IPC thromboprophylaxis</w:t>
      </w:r>
    </w:p>
    <w:p>
      <w:pPr>
        <w:pStyle w:val="ListBullet"/>
      </w:pPr>
      <w:r>
        <w:t>Reversal therapies</w:t>
      </w:r>
    </w:p>
    <w:p>
      <w:pPr>
        <w:pStyle w:val="Heading2"/>
      </w:pPr>
      <w:r>
        <w:t>Metodologia</w:t>
      </w:r>
    </w:p>
    <w:p>
      <w:r>
        <w:t>The pan-European, multidisciplinary Task Force for Advanced Bleeding Care in Trauma included representatives from six European professional societies and convened to assess and update the previous version of this guideline using a structured, evidence-based consensus approach. Structured literature searches covered the period since the last edition of the guideline, but considered evidence cited previously. The format of this edition has been adjusted to reflect the trend towards concise guideline documents that cite only the highest-quality studies and most relevant literature rather than attempting to provide a comprehensive literature review to accompany each recommendation.</w:t>
      </w:r>
    </w:p>
    <w:p>
      <w:pPr>
        <w:pStyle w:val="Heading2"/>
      </w:pPr>
      <w:r>
        <w:t>Resultados</w:t>
      </w:r>
    </w:p>
    <w:p>
      <w:r>
        <w:t>This guideline comprises 39 clinical practice recommendations that follow an approximate temporal path for management of the bleeding trauma patient, with recommendations grouped behind key decision points. While approximately one-third of patients who have experienced severe trauma arrive in hospital in a coagulopathic state, a systematic diagnostic and therapeutic approach has been shown to reduce the number of preventable deaths attributable to traumatic injury.</w:t>
      </w:r>
    </w:p>
    <w:p>
      <w:pPr>
        <w:pStyle w:val="Heading2"/>
      </w:pPr>
      <w:r>
        <w:t>Conclusões</w:t>
      </w:r>
    </w:p>
    <w:p>
      <w:r>
        <w:t>A multidisciplinary approach and adherence to evidence-based guidelines are pillars of best practice in the management of severely injured trauma patients. Further improvement in outcomes will be achieved by optimising and standardising trauma care in line with the available evidence across Europe and beyond.</w:t>
      </w:r>
    </w:p>
    <w:p>
      <w:pPr>
        <w:pStyle w:val="Heading2"/>
      </w:pPr>
      <w:r>
        <w:t>Recomendações</w:t>
      </w:r>
    </w:p>
    <w:p>
      <w:r>
        <w:t>We recommend combined pharmacological and IPC thromboprophylaxis within 24 h after bleeding has been controlled and until the patient is mobile (Grade 1B).We do not recommend the use of graduated compression stockings for thromboprophylaxis (Grade 1C).We do not recommend the routine use of inferior vena cava filters as thromboprophylaxis (Grade 1C).</w:t>
      </w:r>
    </w:p>
    <w:p>
      <w:pPr>
        <w:pStyle w:val="Heading2"/>
      </w:pPr>
      <w:r>
        <w:t>Nota de transparência</w:t>
      </w:r>
    </w:p>
    <w:p>
      <w:r>
        <w:t>Este documento é uma síntese gerada automaticamente a partir da fonte indicada acima. Origem dos metadados: ia_deepseek. Data de processamento: 2026-10-04T14:05:55.971666+00:00.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Src eu trauma bleed 2023</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