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 ms portaria 2048 2002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2048</w:t>
      </w:r>
    </w:p>
    <w:p>
      <w:r>
        <w:t>Tipo documental: GOVERNMENT_DOCUMENT</w:t>
      </w:r>
    </w:p>
    <w:p>
      <w:r>
        <w:t>Identificador da fonte (ID interno): doc-6fc31380c9f9</w:t>
      </w:r>
    </w:p>
    <w:p>
      <w:pPr>
        <w:pStyle w:val="Heading2"/>
      </w:pPr>
      <w:r>
        <w:t>Resumo</w:t>
      </w:r>
    </w:p>
    <w:p>
      <w:r>
        <w:t>A Portaria GM/MS nº 2.048/2002 aprova o Regulamento Técnico dos Sistemas Estaduais de Urgência e Emergência, estabelecendo princípios, diretrizes, normas e critérios para organização e funcionamento desses sistemas, incluindo regulação médica, atendimento pré-hospitalar e hospitalar, transporte inter-hospitalar e capacitação de recursos humanos.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Urgência e Emergência</w:t>
      </w:r>
    </w:p>
    <w:p>
      <w:pPr>
        <w:pStyle w:val="ListBullet"/>
      </w:pPr>
      <w:r>
        <w:t>Sistemas Estaduais de Urgência e Emergência</w:t>
      </w:r>
    </w:p>
    <w:p>
      <w:pPr>
        <w:pStyle w:val="ListBullet"/>
      </w:pPr>
      <w:r>
        <w:t>Regulação Médica das Urgências e Emergências</w:t>
      </w:r>
    </w:p>
    <w:p>
      <w:pPr>
        <w:pStyle w:val="ListBullet"/>
      </w:pPr>
      <w:r>
        <w:t>Atendimento pré-hospitalar</w:t>
      </w:r>
    </w:p>
    <w:p>
      <w:pPr>
        <w:pStyle w:val="ListBullet"/>
      </w:pPr>
      <w:r>
        <w:t>Atendimento pré-hospitalar móvel</w:t>
      </w:r>
    </w:p>
    <w:p>
      <w:pPr>
        <w:pStyle w:val="ListBullet"/>
      </w:pPr>
      <w:r>
        <w:t>Atendimento hospitalar</w:t>
      </w:r>
    </w:p>
    <w:p>
      <w:pPr>
        <w:pStyle w:val="ListBullet"/>
      </w:pPr>
      <w:r>
        <w:t>Transporte inter-hospitalar</w:t>
      </w:r>
    </w:p>
    <w:p>
      <w:pPr>
        <w:pStyle w:val="ListBullet"/>
      </w:pPr>
      <w:r>
        <w:t>Núcleos de Educação em Urgências</w:t>
      </w:r>
    </w:p>
    <w:p>
      <w:pPr>
        <w:pStyle w:val="ListBullet"/>
      </w:pPr>
      <w:r>
        <w:t>Plano Estadual de Atendimento às Urgências e Emergências</w:t>
      </w:r>
    </w:p>
    <w:p>
      <w:pPr>
        <w:pStyle w:val="ListBullet"/>
      </w:pPr>
      <w:r>
        <w:t>Sistema Único de Saúde</w:t>
      </w:r>
    </w:p>
    <w:p>
      <w:pPr>
        <w:pStyle w:val="ListBullet"/>
      </w:pPr>
      <w:r>
        <w:t>NOAS-SUS 01/2002</w:t>
      </w:r>
    </w:p>
    <w:p>
      <w:pPr>
        <w:pStyle w:val="ListBullet"/>
      </w:pPr>
      <w:r>
        <w:t>Gestão Plena do Sistema Municipal</w:t>
      </w:r>
    </w:p>
    <w:p>
      <w:pPr>
        <w:pStyle w:val="ListBullet"/>
      </w:pPr>
      <w:r>
        <w:t>Responsável Técnico</w:t>
      </w:r>
    </w:p>
    <w:p>
      <w:pPr>
        <w:pStyle w:val="ListBullet"/>
      </w:pPr>
      <w:r>
        <w:t>Rotinas de Funcionamento e Atendimento</w:t>
      </w:r>
    </w:p>
    <w:p>
      <w:pPr>
        <w:pStyle w:val="ListBullet"/>
      </w:pPr>
      <w:r>
        <w:t>Prontuário</w:t>
      </w:r>
    </w:p>
    <w:p>
      <w:pPr>
        <w:pStyle w:val="ListBullet"/>
      </w:pPr>
      <w:r>
        <w:t>Grade de Referência</w:t>
      </w:r>
    </w:p>
    <w:p>
      <w:pPr>
        <w:pStyle w:val="Heading2"/>
      </w:pPr>
      <w:r>
        <w:t>Procedimentos</w:t>
      </w:r>
    </w:p>
    <w:p>
      <w:pPr>
        <w:pStyle w:val="ListBullet"/>
      </w:pPr>
      <w:r>
        <w:t>Elaboração dos Planos Estaduais de Atendimento às Urgências e Emergências</w:t>
      </w:r>
    </w:p>
    <w:p>
      <w:pPr>
        <w:pStyle w:val="ListBullet"/>
      </w:pPr>
      <w:r>
        <w:t>Regulação Médica das Urgências e Emergências</w:t>
      </w:r>
    </w:p>
    <w:p>
      <w:pPr>
        <w:pStyle w:val="ListBullet"/>
      </w:pPr>
      <w:r>
        <w:t>Atendimento pré-hospitalar</w:t>
      </w:r>
    </w:p>
    <w:p>
      <w:pPr>
        <w:pStyle w:val="ListBullet"/>
      </w:pPr>
      <w:r>
        <w:t>Atendimento pré-hospitalar móvel</w:t>
      </w:r>
    </w:p>
    <w:p>
      <w:pPr>
        <w:pStyle w:val="ListBullet"/>
      </w:pPr>
      <w:r>
        <w:t>Atendimento hospitalar</w:t>
      </w:r>
    </w:p>
    <w:p>
      <w:pPr>
        <w:pStyle w:val="ListBullet"/>
      </w:pPr>
      <w:r>
        <w:t>Transporte inter-hospitalar</w:t>
      </w:r>
    </w:p>
    <w:p>
      <w:pPr>
        <w:pStyle w:val="ListBullet"/>
      </w:pPr>
      <w:r>
        <w:t>Criação de Núcleos de Educação em Urgências</w:t>
      </w:r>
    </w:p>
    <w:p>
      <w:pPr>
        <w:pStyle w:val="ListBullet"/>
      </w:pPr>
      <w:r>
        <w:t>Proposição de grades curriculares para capacitação de recursos humanos</w:t>
      </w:r>
    </w:p>
    <w:p>
      <w:pPr>
        <w:pStyle w:val="ListBullet"/>
      </w:pPr>
      <w:r>
        <w:t>Avaliação, habilitação e cadastramento de serviços</w:t>
      </w:r>
    </w:p>
    <w:p>
      <w:pPr>
        <w:pStyle w:val="ListBullet"/>
      </w:pPr>
      <w:r>
        <w:t>Organização/habilitação e cadastramento dos serviços</w:t>
      </w:r>
    </w:p>
    <w:p>
      <w:pPr>
        <w:pStyle w:val="ListBullet"/>
      </w:pPr>
      <w:r>
        <w:t>Designação do Coordenador do Sistema Estadual de Urgência e Emergência</w:t>
      </w:r>
    </w:p>
    <w:p>
      <w:pPr>
        <w:pStyle w:val="ListBullet"/>
      </w:pPr>
      <w:r>
        <w:t>Planejamento de distribuição regional dos Serviços</w:t>
      </w:r>
    </w:p>
    <w:p>
      <w:pPr>
        <w:pStyle w:val="ListBullet"/>
      </w:pPr>
      <w:r>
        <w:t>Consulta ao Gestor do SUS para abertura de Serviço</w:t>
      </w:r>
    </w:p>
    <w:p>
      <w:pPr>
        <w:pStyle w:val="ListBullet"/>
      </w:pPr>
      <w:r>
        <w:t>Processo de seleção de prestadores de serviço</w:t>
      </w:r>
    </w:p>
    <w:p>
      <w:pPr>
        <w:pStyle w:val="ListBullet"/>
      </w:pPr>
      <w:r>
        <w:t>Formalização do cadastramento pela Secretaria de Saúde</w:t>
      </w:r>
    </w:p>
    <w:p>
      <w:pPr>
        <w:pStyle w:val="ListBullet"/>
      </w:pPr>
      <w:r>
        <w:t>Programa de treinamento dos membros da equipe</w:t>
      </w:r>
    </w:p>
    <w:p>
      <w:pPr>
        <w:pStyle w:val="ListBullet"/>
      </w:pPr>
      <w:r>
        <w:t>Escala de treinamento de novos funcionários</w:t>
      </w:r>
    </w:p>
    <w:p>
      <w:pPr>
        <w:pStyle w:val="ListBullet"/>
      </w:pPr>
      <w:r>
        <w:t>Rotinas de manutenção preventiva de materiais e equipamentos</w:t>
      </w:r>
    </w:p>
    <w:p>
      <w:pPr>
        <w:pStyle w:val="ListBullet"/>
      </w:pPr>
      <w:r>
        <w:t>Critérios de avaliação dos pacientes</w:t>
      </w:r>
    </w:p>
    <w:p>
      <w:pPr>
        <w:pStyle w:val="ListBullet"/>
      </w:pPr>
      <w:r>
        <w:t>Indicação de procedimento cirúrgico</w:t>
      </w:r>
    </w:p>
    <w:p>
      <w:pPr>
        <w:pStyle w:val="ListBullet"/>
      </w:pPr>
      <w:r>
        <w:t>Procedimentos médico-cirúrgicos</w:t>
      </w:r>
    </w:p>
    <w:p>
      <w:pPr>
        <w:pStyle w:val="ListBullet"/>
      </w:pPr>
      <w:r>
        <w:t>Procedimentos de enfermagem</w:t>
      </w:r>
    </w:p>
    <w:p>
      <w:pPr>
        <w:pStyle w:val="ListBullet"/>
      </w:pPr>
      <w:r>
        <w:t>Rotinas de suporte nutricional</w:t>
      </w:r>
    </w:p>
    <w:p>
      <w:pPr>
        <w:pStyle w:val="ListBullet"/>
      </w:pPr>
      <w:r>
        <w:t>Rotinas de controle de Infecção Hospitalar</w:t>
      </w:r>
    </w:p>
    <w:p>
      <w:pPr>
        <w:pStyle w:val="ListBullet"/>
      </w:pPr>
      <w:r>
        <w:t>Ficha própria para descrição do ato cirúrgico</w:t>
      </w:r>
    </w:p>
    <w:p>
      <w:pPr>
        <w:pStyle w:val="ListBullet"/>
      </w:pPr>
      <w:r>
        <w:t>Rotinas de acompanhamento ambulatorial dos pacientes</w:t>
      </w:r>
    </w:p>
    <w:p>
      <w:pPr>
        <w:pStyle w:val="ListBullet"/>
      </w:pPr>
      <w:r>
        <w:t>Registro de Pacientes</w:t>
      </w:r>
    </w:p>
    <w:p>
      <w:pPr>
        <w:pStyle w:val="ListBullet"/>
      </w:pPr>
      <w:r>
        <w:t>Estruturação da Grade de Referência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2026-10-04T14:06:03.474567+00:00.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Src ms portaria 2048 2002</dc:title>
  <dc:subject>atencao_hospitalar</dc:subject>
  <dc:creator>Ministério da Saúde</dc:creator>
  <cp:keywords>atencao_hospitalar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