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 ms rue consolidated 2026</w:t>
      </w:r>
    </w:p>
    <w:p>
      <w:pPr>
        <w:pStyle w:val="Heading2"/>
      </w:pPr>
      <w:r>
        <w:t>Fonte original</w:t>
      </w:r>
    </w:p>
    <w:p>
      <w:r>
        <w:t>Instituição: Ministério da Saúde</w:t>
      </w:r>
    </w:p>
    <w:p>
      <w:r>
        <w:t>Ano de publicação: 2026</w:t>
      </w:r>
    </w:p>
    <w:p>
      <w:r>
        <w:t>Tipo documental: GOVERNMENT_DOCUMENT</w:t>
      </w:r>
    </w:p>
    <w:p>
      <w:r>
        <w:t>Identificador da fonte (ID interno): doc-f3ccf98ba529</w:t>
      </w:r>
    </w:p>
    <w:p>
      <w:pPr>
        <w:pStyle w:val="Heading2"/>
      </w:pPr>
      <w:r>
        <w:t>Resumo</w:t>
      </w:r>
    </w:p>
    <w:p>
      <w:r>
        <w:t>Trecho da Portaria de Consolidação GM/MS nº 3/2017, que consolida normas sobre as redes do Sistema Único de Saúde, incluindo a Rede de Atenção às Urgências e Emergências. O texto apresenta artigos sobre competências das Secretarias de Saúde, monitoramento e avaliação da PNIIS, comitê gestor, e disposições sobre redes de serviço e pesquisa em saúde, além de requisitos para habilitação de serviços de referência de doenças crônicas.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Rede de Atenção às Urgências e Emergências</w:t>
      </w:r>
    </w:p>
    <w:p>
      <w:pPr>
        <w:pStyle w:val="ListBullet"/>
      </w:pPr>
      <w:r>
        <w:t>Política Nacional de Informação e Informática em Saúde (PNIIS)</w:t>
      </w:r>
    </w:p>
    <w:p>
      <w:pPr>
        <w:pStyle w:val="ListBullet"/>
      </w:pPr>
      <w:r>
        <w:t>Sistema Único de Saúde (SUS)</w:t>
      </w:r>
    </w:p>
    <w:p>
      <w:pPr>
        <w:pStyle w:val="ListBullet"/>
      </w:pPr>
      <w:r>
        <w:t>Redes de Atenção à Saúde</w:t>
      </w:r>
    </w:p>
    <w:p>
      <w:pPr>
        <w:pStyle w:val="ListBullet"/>
      </w:pPr>
      <w:r>
        <w:t>Redes de Serviço de Saúde</w:t>
      </w:r>
    </w:p>
    <w:p>
      <w:pPr>
        <w:pStyle w:val="ListBullet"/>
      </w:pPr>
      <w:r>
        <w:t>Redes de Pesquisa em Saúde</w:t>
      </w:r>
    </w:p>
    <w:p>
      <w:pPr>
        <w:pStyle w:val="ListBullet"/>
      </w:pPr>
      <w:r>
        <w:t>Apoio matricial</w:t>
      </w:r>
    </w:p>
    <w:p>
      <w:pPr>
        <w:pStyle w:val="ListBullet"/>
      </w:pPr>
      <w:r>
        <w:t>Interoperabilidade de sistemas</w:t>
      </w:r>
    </w:p>
    <w:p>
      <w:pPr>
        <w:pStyle w:val="ListBullet"/>
      </w:pPr>
      <w:r>
        <w:t>Educação permanente</w:t>
      </w:r>
    </w:p>
    <w:p>
      <w:pPr>
        <w:pStyle w:val="ListBullet"/>
      </w:pPr>
      <w:r>
        <w:t>Monitoramento e avaliação em saúde</w:t>
      </w:r>
    </w:p>
    <w:p>
      <w:pPr>
        <w:pStyle w:val="ListBullet"/>
      </w:pPr>
      <w:r>
        <w:t>Planejamento regional em saúde</w:t>
      </w:r>
    </w:p>
    <w:p>
      <w:pPr>
        <w:pStyle w:val="ListBullet"/>
      </w:pPr>
      <w:r>
        <w:t>Comitê Gestor tripartite</w:t>
      </w:r>
    </w:p>
    <w:p>
      <w:pPr>
        <w:pStyle w:val="ListBullet"/>
      </w:pPr>
      <w:r>
        <w:t>Serviços de Referência de Doenças Crônicas (SRC)</w:t>
      </w:r>
    </w:p>
    <w:p>
      <w:pPr>
        <w:pStyle w:val="ListBullet"/>
      </w:pPr>
      <w:r>
        <w:t>Serviços de Doenças Metabólicas (SDM)</w:t>
      </w:r>
    </w:p>
    <w:p>
      <w:pPr>
        <w:pStyle w:val="Heading2"/>
      </w:pPr>
      <w:r>
        <w:t>Procedimentos</w:t>
      </w:r>
    </w:p>
    <w:p>
      <w:pPr>
        <w:pStyle w:val="ListBullet"/>
      </w:pPr>
      <w:r>
        <w:t>Implantar soluções de informática segundo necessidades regionais</w:t>
      </w:r>
    </w:p>
    <w:p>
      <w:pPr>
        <w:pStyle w:val="ListBullet"/>
      </w:pPr>
      <w:r>
        <w:t>Estabelecer metodologias de monitoramento e avaliação das ações de informação e informática</w:t>
      </w:r>
    </w:p>
    <w:p>
      <w:pPr>
        <w:pStyle w:val="ListBullet"/>
      </w:pPr>
      <w:r>
        <w:t>Coordenar ações que promovam o desenvolvimento das instâncias públicas de informação e tecnologia da informação em saúde</w:t>
      </w:r>
    </w:p>
    <w:p>
      <w:pPr>
        <w:pStyle w:val="ListBullet"/>
      </w:pPr>
      <w:r>
        <w:t>Implementar ações de informação e informática em saúde em consonância com a PNIIS</w:t>
      </w:r>
    </w:p>
    <w:p>
      <w:pPr>
        <w:pStyle w:val="ListBullet"/>
      </w:pPr>
      <w:r>
        <w:t>Apoiar a implementação da PNIIS por meio do processo de planejamento regional em saúde</w:t>
      </w:r>
    </w:p>
    <w:p>
      <w:pPr>
        <w:pStyle w:val="ListBullet"/>
      </w:pPr>
      <w:r>
        <w:t>Articular e estabelecer parcerias com órgãos governamentais e não governamentais</w:t>
      </w:r>
    </w:p>
    <w:p>
      <w:pPr>
        <w:pStyle w:val="ListBullet"/>
      </w:pPr>
      <w:r>
        <w:t>Desenvolver ações de educação permanente</w:t>
      </w:r>
    </w:p>
    <w:p>
      <w:pPr>
        <w:pStyle w:val="ListBullet"/>
      </w:pPr>
      <w:r>
        <w:t>Identificar no SCNES as Unidades de Atenção Básica de referência</w:t>
      </w:r>
    </w:p>
    <w:p>
      <w:pPr>
        <w:pStyle w:val="ListBullet"/>
      </w:pPr>
      <w:r>
        <w:t>Programar a necessidade de estabelecimentos de saúde para habilitação como SRC ou SDM</w:t>
      </w:r>
    </w:p>
    <w:p>
      <w:pPr>
        <w:pStyle w:val="ListBullet"/>
      </w:pPr>
      <w:r>
        <w:t>Organizar serviços habilitados como SRC e SDM para oferecer apoio matricial</w:t>
      </w:r>
    </w:p>
    <w:p>
      <w:pPr>
        <w:pStyle w:val="ListBullet"/>
      </w:pPr>
      <w:r>
        <w:t>Elaborar pedidos de habilitação de SRC e SDM com demonstração de cumprimento de requisitos</w:t>
      </w:r>
    </w:p>
    <w:p>
      <w:pPr>
        <w:pStyle w:val="ListBullet"/>
      </w:pPr>
      <w:r>
        <w:t>Aprovar solicitações em Resolução da CIB e CIR</w:t>
      </w:r>
    </w:p>
    <w:p>
      <w:pPr>
        <w:pStyle w:val="ListBullet"/>
      </w:pPr>
      <w:r>
        <w:t>Analisar solicitação pela CGAPDC/DAET/SAS/MS</w:t>
      </w:r>
    </w:p>
    <w:p>
      <w:pPr>
        <w:pStyle w:val="Heading2"/>
      </w:pPr>
      <w:r>
        <w:t>Recomendações</w:t>
      </w:r>
    </w:p>
    <w:p>
      <w:r>
        <w:t>Identificar no SCNES as Unidades de Atenção Básica para as quais os SRC e SDM serão referênciaProgramar a necessidade de estabelecimentos de saúde considerando perfil epidemiológico, capacidade instalada e conceito de escalaOrganizar serviços habilitados como SRC e SDM para oferecer apoio matricial aos serviços de atenção básica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2026-10-04T14:06:08.750040+00:00.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Src ms rue consolidated 2026</dc:title>
  <dc:subject/>
  <dc:creator>Ministério da Saúde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