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sbc ha 2025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2025</w:t>
      </w:r>
    </w:p>
    <w:p>
      <w:r>
        <w:t>Tipo documental: GOVERNMENT_DOCUMENT</w:t>
      </w:r>
    </w:p>
    <w:p>
      <w:r>
        <w:t>Identificador da fonte (ID interno): doc-499d708e2087</w:t>
      </w:r>
    </w:p>
    <w:p>
      <w:pPr>
        <w:pStyle w:val="Heading2"/>
      </w:pPr>
      <w:r>
        <w:t>Resumo</w:t>
      </w:r>
    </w:p>
    <w:p>
      <w:r>
        <w:t>A Diretriz Brasileira de Hipertensão Arterial – 2025, publicada pela Sociedade Brasileira de Cardiologia, apresenta recomendações atualizadas para o diagnóstico, classificação, avaliação e tratamento da hipertensão arterial, incluindo aspectos pediátricos e neonatais.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Hipertensão arterial</w:t>
      </w:r>
    </w:p>
    <w:p>
      <w:pPr>
        <w:pStyle w:val="ListBullet"/>
      </w:pPr>
      <w:r>
        <w:t>Pressão arterial</w:t>
      </w:r>
    </w:p>
    <w:p>
      <w:pPr>
        <w:pStyle w:val="ListBullet"/>
      </w:pPr>
      <w:r>
        <w:t>Hipertensão do avental branco</w:t>
      </w:r>
    </w:p>
    <w:p>
      <w:pPr>
        <w:pStyle w:val="ListBullet"/>
      </w:pPr>
      <w:r>
        <w:t>Hipertensão mascarada</w:t>
      </w:r>
    </w:p>
    <w:p>
      <w:pPr>
        <w:pStyle w:val="ListBullet"/>
      </w:pPr>
      <w:r>
        <w:t>Hipertensão ambulatorial</w:t>
      </w:r>
    </w:p>
    <w:p>
      <w:pPr>
        <w:pStyle w:val="ListBullet"/>
      </w:pPr>
      <w:r>
        <w:t>Monitorização ambulatorial da pressão arterial</w:t>
      </w:r>
    </w:p>
    <w:p>
      <w:pPr>
        <w:pStyle w:val="ListBullet"/>
      </w:pPr>
      <w:r>
        <w:t>Percentil de pressão arterial</w:t>
      </w:r>
    </w:p>
    <w:p>
      <w:pPr>
        <w:pStyle w:val="ListBullet"/>
      </w:pPr>
      <w:r>
        <w:t>Idade pós-concepção</w:t>
      </w:r>
    </w:p>
    <w:p>
      <w:pPr>
        <w:pStyle w:val="ListBullet"/>
      </w:pPr>
      <w:r>
        <w:t>Pressão arterial sistólica</w:t>
      </w:r>
    </w:p>
    <w:p>
      <w:pPr>
        <w:pStyle w:val="ListBullet"/>
      </w:pPr>
      <w:r>
        <w:t>Pressão arterial diastólica</w:t>
      </w:r>
    </w:p>
    <w:p>
      <w:pPr>
        <w:pStyle w:val="ListBullet"/>
      </w:pPr>
      <w:r>
        <w:t>Pressão arterial média</w:t>
      </w:r>
    </w:p>
    <w:p>
      <w:pPr>
        <w:pStyle w:val="Heading2"/>
      </w:pPr>
      <w:r>
        <w:t>Procedimentos</w:t>
      </w:r>
    </w:p>
    <w:p>
      <w:pPr>
        <w:pStyle w:val="ListBullet"/>
      </w:pPr>
      <w:r>
        <w:t>Medida ambulatorial da pressão arterial</w:t>
      </w:r>
    </w:p>
    <w:p>
      <w:pPr>
        <w:pStyle w:val="ListBullet"/>
      </w:pPr>
      <w:r>
        <w:t>Metodologia auscultatória</w:t>
      </w:r>
    </w:p>
    <w:p>
      <w:pPr>
        <w:pStyle w:val="Heading2"/>
      </w:pPr>
      <w:r>
        <w:t>Diagnósticos</w:t>
      </w:r>
    </w:p>
    <w:p>
      <w:pPr>
        <w:pStyle w:val="ListBullet"/>
      </w:pPr>
      <w:r>
        <w:t>Hipertensão arterial pediátrica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2026-10-04T14:06:15.422106+00:00.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sbc ha 2025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