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Lei nº 11.265, de 3 de janeiro de 2006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2006</w:t>
      </w:r>
    </w:p>
    <w:p>
      <w:r>
        <w:t>Tipo documental: GOVERNMENT_DOCUMENT</w:t>
      </w:r>
    </w:p>
    <w:p>
      <w:r>
        <w:t>Identificador da fonte (ID interno): doc-14fa76f61578</w:t>
      </w:r>
    </w:p>
    <w:p>
      <w:pPr>
        <w:pStyle w:val="Heading2"/>
      </w:pPr>
      <w:r>
        <w:t>Resumo</w:t>
      </w:r>
    </w:p>
    <w:p>
      <w:r>
        <w:t>A Lei nº 11.265/2006 regulamenta a comercialização de alimentos para lactentes e crianças de primeira infância e produtos de puericultura correlatos, visando contribuir para a adequada nutrição desses grupos, protegendo e incentivando o aleitamento materno exclusivo até os 6 meses e continuado até os 2 anos, além de regular a promoção comercial e o uso apropriado de tais produtos.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alimentos substitutos do leite materno ou humano</w:t>
      </w:r>
    </w:p>
    <w:p>
      <w:pPr>
        <w:pStyle w:val="ListBullet"/>
      </w:pPr>
      <w:r>
        <w:t>alimento de transição para lactentes e crianças de primeira infância</w:t>
      </w:r>
    </w:p>
    <w:p>
      <w:pPr>
        <w:pStyle w:val="ListBullet"/>
      </w:pPr>
      <w:r>
        <w:t>alimento complementar</w:t>
      </w:r>
    </w:p>
    <w:p>
      <w:pPr>
        <w:pStyle w:val="ListBullet"/>
      </w:pPr>
      <w:r>
        <w:t>alimento à base de cereais para lactentes e crianças de primeira infância</w:t>
      </w:r>
    </w:p>
    <w:p>
      <w:pPr>
        <w:pStyle w:val="ListBullet"/>
      </w:pPr>
      <w:r>
        <w:t>amostra</w:t>
      </w:r>
    </w:p>
    <w:p>
      <w:pPr>
        <w:pStyle w:val="ListBullet"/>
      </w:pPr>
      <w:r>
        <w:t>apresentação especial</w:t>
      </w:r>
    </w:p>
    <w:p>
      <w:pPr>
        <w:pStyle w:val="ListBullet"/>
      </w:pPr>
      <w:r>
        <w:t>bico</w:t>
      </w:r>
    </w:p>
    <w:p>
      <w:pPr>
        <w:pStyle w:val="ListBullet"/>
      </w:pPr>
      <w:r>
        <w:t>criança</w:t>
      </w:r>
    </w:p>
    <w:p>
      <w:pPr>
        <w:pStyle w:val="ListBullet"/>
      </w:pPr>
      <w:r>
        <w:t>criança de primeira infância</w:t>
      </w:r>
    </w:p>
    <w:p>
      <w:pPr>
        <w:pStyle w:val="ListBullet"/>
      </w:pPr>
      <w:r>
        <w:t>criança pequena</w:t>
      </w:r>
    </w:p>
    <w:p>
      <w:pPr>
        <w:pStyle w:val="ListBullet"/>
      </w:pPr>
      <w:r>
        <w:t>chupeta</w:t>
      </w:r>
    </w:p>
    <w:p>
      <w:pPr>
        <w:pStyle w:val="ListBullet"/>
      </w:pPr>
      <w:r>
        <w:t>destaque</w:t>
      </w:r>
    </w:p>
    <w:p>
      <w:pPr>
        <w:pStyle w:val="ListBullet"/>
      </w:pPr>
      <w:r>
        <w:t>doação</w:t>
      </w:r>
    </w:p>
    <w:p>
      <w:pPr>
        <w:pStyle w:val="ListBullet"/>
      </w:pPr>
      <w:r>
        <w:t>distribuidor</w:t>
      </w:r>
    </w:p>
    <w:p>
      <w:pPr>
        <w:pStyle w:val="ListBullet"/>
      </w:pPr>
      <w:r>
        <w:t>kit</w:t>
      </w:r>
    </w:p>
    <w:p>
      <w:pPr>
        <w:pStyle w:val="ListBullet"/>
      </w:pPr>
      <w:r>
        <w:t>exposição especial</w:t>
      </w:r>
    </w:p>
    <w:p>
      <w:pPr>
        <w:pStyle w:val="ListBullet"/>
      </w:pPr>
      <w:r>
        <w:t>embalagem</w:t>
      </w:r>
    </w:p>
    <w:p>
      <w:pPr>
        <w:pStyle w:val="ListBullet"/>
      </w:pPr>
      <w:r>
        <w:t>importador</w:t>
      </w:r>
    </w:p>
    <w:p>
      <w:pPr>
        <w:pStyle w:val="ListBullet"/>
      </w:pPr>
      <w:r>
        <w:t>fabricante</w:t>
      </w:r>
    </w:p>
    <w:p>
      <w:pPr>
        <w:pStyle w:val="ListBullet"/>
      </w:pPr>
      <w:r>
        <w:t>fórmula infantil para lactentes</w:t>
      </w:r>
    </w:p>
    <w:p>
      <w:pPr>
        <w:pStyle w:val="ListBullet"/>
      </w:pPr>
      <w:r>
        <w:t>fórmula infantil para necessidades dietoterápicas específicas</w:t>
      </w:r>
    </w:p>
    <w:p>
      <w:pPr>
        <w:pStyle w:val="ListBullet"/>
      </w:pPr>
      <w:r>
        <w:t>fórmula infantil de seguimento para lactentes</w:t>
      </w:r>
    </w:p>
    <w:p>
      <w:pPr>
        <w:pStyle w:val="ListBullet"/>
      </w:pPr>
      <w:r>
        <w:t>fórmula infantil de seguimento para crianças de primeira infância</w:t>
      </w:r>
    </w:p>
    <w:p>
      <w:pPr>
        <w:pStyle w:val="ListBullet"/>
      </w:pPr>
      <w:r>
        <w:t>lactente</w:t>
      </w:r>
    </w:p>
    <w:p>
      <w:pPr>
        <w:pStyle w:val="ListBullet"/>
      </w:pPr>
      <w:r>
        <w:t>leite modificado</w:t>
      </w:r>
    </w:p>
    <w:p>
      <w:pPr>
        <w:pStyle w:val="ListBullet"/>
      </w:pPr>
      <w:r>
        <w:t>material educativo</w:t>
      </w:r>
    </w:p>
    <w:p>
      <w:pPr>
        <w:pStyle w:val="ListBullet"/>
      </w:pPr>
      <w:r>
        <w:t>material técnico-científico</w:t>
      </w:r>
    </w:p>
    <w:p>
      <w:pPr>
        <w:pStyle w:val="ListBullet"/>
      </w:pPr>
      <w:r>
        <w:t>representantes comerciais</w:t>
      </w:r>
    </w:p>
    <w:p>
      <w:pPr>
        <w:pStyle w:val="ListBullet"/>
      </w:pPr>
      <w:r>
        <w:t>promoção comercial</w:t>
      </w:r>
    </w:p>
    <w:p>
      <w:pPr>
        <w:pStyle w:val="ListBullet"/>
      </w:pPr>
      <w:r>
        <w:t>rótulo</w:t>
      </w:r>
    </w:p>
    <w:p>
      <w:pPr>
        <w:pStyle w:val="ListBullet"/>
      </w:pPr>
      <w:r>
        <w:t>fórmula de nutrientes para recém-nascidos de alto risco</w:t>
      </w:r>
    </w:p>
    <w:p>
      <w:pPr>
        <w:pStyle w:val="Heading2"/>
      </w:pPr>
      <w:r>
        <w:t>Equipamentos</w:t>
      </w:r>
    </w:p>
    <w:p>
      <w:pPr>
        <w:pStyle w:val="ListBullet"/>
      </w:pPr>
      <w:r>
        <w:t>mamadeiras</w:t>
      </w:r>
    </w:p>
    <w:p>
      <w:pPr>
        <w:pStyle w:val="ListBullet"/>
      </w:pPr>
      <w:r>
        <w:t>bicos</w:t>
      </w:r>
    </w:p>
    <w:p>
      <w:pPr>
        <w:pStyle w:val="ListBullet"/>
      </w:pPr>
      <w:r>
        <w:t>chupetas</w:t>
      </w:r>
    </w:p>
    <w:p>
      <w:pPr>
        <w:pStyle w:val="Heading2"/>
      </w:pPr>
      <w:r>
        <w:t>Recomendações</w:t>
      </w:r>
    </w:p>
    <w:p>
      <w:r>
        <w:t>proteção e incentivo ao aleitamento materno exclusivo nos primeiros 6 meses de idadeproteção e incentivo à continuidade do aleitamento materno até os 2 anos de idade após a introdução de novos alimentos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2026-09-28T08:42:48.099054+00:00.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11.265, de 3 de janeiro de 2006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