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Portaria n 930 2012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2012</w:t>
      </w:r>
    </w:p>
    <w:p>
      <w:r>
        <w:t>Tipo documental: GOVERNMENT_DOCUMENT</w:t>
      </w:r>
    </w:p>
    <w:p>
      <w:r>
        <w:t>Identificador da fonte (ID interno): doc-61f96383e51a</w:t>
      </w:r>
    </w:p>
    <w:p>
      <w:pPr>
        <w:pStyle w:val="Heading2"/>
      </w:pPr>
      <w:r>
        <w:t>Resumo</w:t>
      </w:r>
    </w:p>
    <w:p>
      <w:r>
        <w:t>A Portaria nº 930, de 10 de maio de 2012, define diretrizes e objetivos para a organização da atenção integral e humanizada ao recém-nascido grave ou potencialmente grave e os critérios de classificação e habilitação de leitos de Unidade Neonatal no âmbito do SUS.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Recém-nascido: criança com idade entre 0 (zero) a 28 (vinte e oito) dias de vida</w:t>
      </w:r>
    </w:p>
    <w:p>
      <w:pPr>
        <w:pStyle w:val="ListBullet"/>
      </w:pPr>
      <w:r>
        <w:t>Unidade Neonatal: serviço de internação responsável pelo cuidado integral ao recém-nascido grave ou potencialmente grave</w:t>
      </w:r>
    </w:p>
    <w:p>
      <w:pPr>
        <w:pStyle w:val="ListBullet"/>
      </w:pPr>
      <w:r>
        <w:t>Unidade de Terapia Intensiva Neonatal (UTIN)</w:t>
      </w:r>
    </w:p>
    <w:p>
      <w:pPr>
        <w:pStyle w:val="ListBullet"/>
      </w:pPr>
      <w:r>
        <w:t>Unidade de Cuidado Intermediário Neonatal (UCIN)</w:t>
      </w:r>
    </w:p>
    <w:p>
      <w:pPr>
        <w:pStyle w:val="ListBullet"/>
      </w:pPr>
      <w:r>
        <w:t>Unidade de Cuidado Intermediário Neonatal Convencional (UCINCo)</w:t>
      </w:r>
    </w:p>
    <w:p>
      <w:pPr>
        <w:pStyle w:val="ListBullet"/>
      </w:pPr>
      <w:r>
        <w:t>Unidade de Cuidado Intermediário Neonatal Canguru (UCINCa)</w:t>
      </w:r>
    </w:p>
    <w:p>
      <w:pPr>
        <w:pStyle w:val="ListBullet"/>
      </w:pPr>
      <w:r>
        <w:t>Atenção integral e humanizada</w:t>
      </w:r>
    </w:p>
    <w:p>
      <w:pPr>
        <w:pStyle w:val="ListBullet"/>
      </w:pPr>
      <w:r>
        <w:t>Direitos humanos</w:t>
      </w:r>
    </w:p>
    <w:p>
      <w:pPr>
        <w:pStyle w:val="ListBullet"/>
      </w:pPr>
      <w:r>
        <w:t>Promoção da equidade</w:t>
      </w:r>
    </w:p>
    <w:p>
      <w:pPr>
        <w:pStyle w:val="ListBullet"/>
      </w:pPr>
      <w:r>
        <w:t>Integralidade da assistência</w:t>
      </w:r>
    </w:p>
    <w:p>
      <w:pPr>
        <w:pStyle w:val="ListBullet"/>
      </w:pPr>
      <w:r>
        <w:t>Atenção multiprofissional</w:t>
      </w:r>
    </w:p>
    <w:p>
      <w:pPr>
        <w:pStyle w:val="ListBullet"/>
      </w:pPr>
      <w:r>
        <w:t>Atenção humanizada</w:t>
      </w:r>
    </w:p>
    <w:p>
      <w:pPr>
        <w:pStyle w:val="ListBullet"/>
      </w:pPr>
      <w:r>
        <w:t>Participação e protagonismo da mãe e do pai</w:t>
      </w:r>
    </w:p>
    <w:p>
      <w:pPr>
        <w:pStyle w:val="ListBullet"/>
      </w:pPr>
      <w:r>
        <w:t>Método Canguru</w:t>
      </w:r>
    </w:p>
    <w:p>
      <w:pPr>
        <w:pStyle w:val="ListBullet"/>
      </w:pPr>
      <w:r>
        <w:t>Rede Cegonha</w:t>
      </w:r>
    </w:p>
    <w:p>
      <w:pPr>
        <w:pStyle w:val="ListBullet"/>
      </w:pPr>
      <w:r>
        <w:t>Rede de Atenção às Urgências</w:t>
      </w:r>
    </w:p>
    <w:p>
      <w:pPr>
        <w:pStyle w:val="ListBullet"/>
      </w:pPr>
      <w:r>
        <w:t>Rede de Atenção à Saúde</w:t>
      </w:r>
    </w:p>
    <w:p>
      <w:pPr>
        <w:pStyle w:val="Heading2"/>
      </w:pPr>
      <w:r>
        <w:t>Procedimentos</w:t>
      </w:r>
    </w:p>
    <w:p>
      <w:pPr>
        <w:pStyle w:val="ListBullet"/>
      </w:pPr>
      <w:r>
        <w:t>Transferência para Unidade Neonatal após estabilização do recém-nascido e com transporte sanitário adequado, realizado por profissional habilitado</w:t>
      </w:r>
    </w:p>
    <w:p>
      <w:pPr>
        <w:pStyle w:val="ListBullet"/>
      </w:pPr>
      <w:r>
        <w:t>Controle de ruído</w:t>
      </w:r>
    </w:p>
    <w:p>
      <w:pPr>
        <w:pStyle w:val="ListBullet"/>
      </w:pPr>
      <w:r>
        <w:t>Controle de iluminação</w:t>
      </w:r>
    </w:p>
    <w:p>
      <w:pPr>
        <w:pStyle w:val="ListBullet"/>
      </w:pPr>
      <w:r>
        <w:t>Climatização</w:t>
      </w:r>
    </w:p>
    <w:p>
      <w:pPr>
        <w:pStyle w:val="ListBullet"/>
      </w:pPr>
      <w:r>
        <w:t>Iluminação natural, para as novas unidades</w:t>
      </w:r>
    </w:p>
    <w:p>
      <w:pPr>
        <w:pStyle w:val="ListBullet"/>
      </w:pPr>
      <w:r>
        <w:t>Garantia de livre acesso a mãe e ao pai, e permanência da mãe ou pai</w:t>
      </w:r>
    </w:p>
    <w:p>
      <w:pPr>
        <w:pStyle w:val="ListBullet"/>
      </w:pPr>
      <w:r>
        <w:t>Garantia de visitas programadas dos familiares</w:t>
      </w:r>
    </w:p>
    <w:p>
      <w:pPr>
        <w:pStyle w:val="ListBullet"/>
      </w:pPr>
      <w:r>
        <w:t>Garantia de informações da evolução dos pacientes aos familiares, pela equipe médica, no mínimo, uma vez ao dia</w:t>
      </w:r>
    </w:p>
    <w:p>
      <w:pPr>
        <w:pStyle w:val="ListBullet"/>
      </w:pPr>
      <w:r>
        <w:t>Realização de contato pele a pele/posição canguru</w:t>
      </w:r>
    </w:p>
    <w:p>
      <w:pPr>
        <w:pStyle w:val="Heading2"/>
      </w:pPr>
      <w:r>
        <w:t>Medicamentos</w:t>
      </w:r>
    </w:p>
    <w:p>
      <w:pPr>
        <w:pStyle w:val="ListBullet"/>
      </w:pPr>
      <w:r>
        <w:t>Drogas vasoativas</w:t>
      </w:r>
    </w:p>
    <w:p>
      <w:pPr>
        <w:pStyle w:val="ListBullet"/>
      </w:pPr>
      <w:r>
        <w:t>Prostaglandina</w:t>
      </w:r>
    </w:p>
    <w:p>
      <w:pPr>
        <w:pStyle w:val="ListBullet"/>
      </w:pPr>
      <w:r>
        <w:t>Antibióticos para tratamento de infecção grave</w:t>
      </w:r>
    </w:p>
    <w:p>
      <w:pPr>
        <w:pStyle w:val="ListBullet"/>
      </w:pPr>
      <w:r>
        <w:t>Hemoderivados</w:t>
      </w:r>
    </w:p>
    <w:p>
      <w:pPr>
        <w:pStyle w:val="Heading2"/>
      </w:pPr>
      <w:r>
        <w:t>Equipamentos</w:t>
      </w:r>
    </w:p>
    <w:p>
      <w:pPr>
        <w:pStyle w:val="ListBullet"/>
      </w:pPr>
      <w:r>
        <w:t>Ventilador mecânico microprocessado</w:t>
      </w:r>
    </w:p>
    <w:p>
      <w:pPr>
        <w:pStyle w:val="ListBullet"/>
      </w:pPr>
      <w:r>
        <w:t>Bombas de infusão</w:t>
      </w:r>
    </w:p>
    <w:p>
      <w:pPr>
        <w:pStyle w:val="ListBullet"/>
      </w:pPr>
      <w:r>
        <w:t>Berço de calor radiante</w:t>
      </w:r>
    </w:p>
    <w:p>
      <w:pPr>
        <w:pStyle w:val="ListBullet"/>
      </w:pPr>
      <w:r>
        <w:t>Incubadoras simples</w:t>
      </w:r>
    </w:p>
    <w:p>
      <w:pPr>
        <w:pStyle w:val="ListBullet"/>
      </w:pPr>
      <w:r>
        <w:t>Berços de acrílico</w:t>
      </w:r>
    </w:p>
    <w:p>
      <w:pPr>
        <w:pStyle w:val="ListBullet"/>
      </w:pPr>
      <w:r>
        <w:t>Monitor de beira de leito para monitorização contínua de frequência cardíaca, cardioscopia, oximetria de pulso e pressão não invasiva, frequência respiratória e temperatura</w:t>
      </w:r>
    </w:p>
    <w:p>
      <w:pPr>
        <w:pStyle w:val="ListBullet"/>
      </w:pPr>
      <w:r>
        <w:t>Ressuscitador manual tipo balão auto-inflável com reservatório e válvula e máscaras para prematuros e recém-nascido atermo</w:t>
      </w:r>
    </w:p>
    <w:p>
      <w:pPr>
        <w:pStyle w:val="ListBullet"/>
      </w:pPr>
      <w:r>
        <w:t>Capacetes/capuz para oxigênio</w:t>
      </w:r>
    </w:p>
    <w:p>
      <w:pPr>
        <w:pStyle w:val="ListBullet"/>
      </w:pPr>
      <w:r>
        <w:t>Termômetro digital individual</w:t>
      </w:r>
    </w:p>
    <w:p>
      <w:pPr>
        <w:pStyle w:val="ListBullet"/>
      </w:pPr>
      <w:r>
        <w:t>Estetoscópio individual</w:t>
      </w:r>
    </w:p>
    <w:p>
      <w:pPr>
        <w:pStyle w:val="ListBullet"/>
      </w:pPr>
      <w:r>
        <w:t>Esfignomanômetro</w:t>
      </w:r>
    </w:p>
    <w:p>
      <w:pPr>
        <w:pStyle w:val="ListBullet"/>
      </w:pPr>
      <w:r>
        <w:t>Otoscópio e oftalmoscópio</w:t>
      </w:r>
    </w:p>
    <w:p>
      <w:pPr>
        <w:pStyle w:val="ListBullet"/>
      </w:pPr>
      <w:r>
        <w:t>Material e equipamento para reanimação</w:t>
      </w:r>
    </w:p>
    <w:p>
      <w:pPr>
        <w:pStyle w:val="ListBullet"/>
      </w:pPr>
      <w:r>
        <w:t>Conjunto de nebulizador e máscara</w:t>
      </w:r>
    </w:p>
    <w:p>
      <w:pPr>
        <w:pStyle w:val="ListBullet"/>
      </w:pPr>
      <w:r>
        <w:t>Aspirador portátil</w:t>
      </w:r>
    </w:p>
    <w:p>
      <w:pPr>
        <w:pStyle w:val="ListBullet"/>
      </w:pPr>
      <w:r>
        <w:t>Aparelhos de fototerapia</w:t>
      </w:r>
    </w:p>
    <w:p>
      <w:pPr>
        <w:pStyle w:val="ListBullet"/>
      </w:pPr>
      <w:r>
        <w:t>Balança eletrônica</w:t>
      </w:r>
    </w:p>
    <w:p>
      <w:pPr>
        <w:pStyle w:val="ListBullet"/>
      </w:pPr>
      <w:r>
        <w:t>Negatoscópio ou sistema informatizado para visualizar Raio X</w:t>
      </w:r>
    </w:p>
    <w:p>
      <w:pPr>
        <w:pStyle w:val="ListBullet"/>
      </w:pPr>
      <w:r>
        <w:t>Relógios e calendário de parede visíveis</w:t>
      </w:r>
    </w:p>
    <w:p>
      <w:pPr>
        <w:pStyle w:val="ListBullet"/>
      </w:pPr>
      <w:r>
        <w:t>Poltronas removíveis, com revestimento impermeável</w:t>
      </w:r>
    </w:p>
    <w:p>
      <w:pPr>
        <w:pStyle w:val="Heading2"/>
      </w:pPr>
      <w:r>
        <w:t>Diagnósticos</w:t>
      </w:r>
    </w:p>
    <w:p>
      <w:pPr>
        <w:pStyle w:val="ListBullet"/>
      </w:pPr>
      <w:r>
        <w:t>Insuficiência respiratória</w:t>
      </w:r>
    </w:p>
    <w:p>
      <w:pPr>
        <w:pStyle w:val="ListBullet"/>
      </w:pPr>
      <w:r>
        <w:t>Infecção grave</w:t>
      </w:r>
    </w:p>
    <w:p>
      <w:pPr>
        <w:pStyle w:val="ListBullet"/>
      </w:pPr>
      <w:r>
        <w:t>Desconforto respiratório leve</w:t>
      </w:r>
    </w:p>
    <w:p>
      <w:pPr>
        <w:pStyle w:val="ListBullet"/>
      </w:pPr>
      <w:r>
        <w:t>Quadro infeccioso estável</w:t>
      </w:r>
    </w:p>
    <w:p>
      <w:pPr>
        <w:pStyle w:val="ListBullet"/>
      </w:pPr>
      <w:r>
        <w:t>Níveis de bilirrubinas próximos aos níveis de exsanguineotransfusão</w:t>
      </w:r>
    </w:p>
    <w:p>
      <w:pPr>
        <w:pStyle w:val="ListBullet"/>
      </w:pPr>
      <w:r>
        <w:t>Níveis de bilirrubina descendentes</w:t>
      </w:r>
    </w:p>
    <w:p>
      <w:pPr>
        <w:pStyle w:val="ListBullet"/>
      </w:pPr>
      <w:r>
        <w:t>Desequilíbrio hemodinâmico</w:t>
      </w:r>
    </w:p>
    <w:p>
      <w:pPr>
        <w:pStyle w:val="Heading2"/>
      </w:pPr>
      <w:r>
        <w:t>Intervenções</w:t>
      </w:r>
    </w:p>
    <w:p>
      <w:pPr>
        <w:pStyle w:val="ListBullet"/>
      </w:pPr>
      <w:r>
        <w:t>Ventilação mecânica</w:t>
      </w:r>
    </w:p>
    <w:p>
      <w:pPr>
        <w:pStyle w:val="ListBullet"/>
      </w:pPr>
      <w:r>
        <w:t>Uso de cateter venoso central</w:t>
      </w:r>
    </w:p>
    <w:p>
      <w:pPr>
        <w:pStyle w:val="ListBullet"/>
      </w:pPr>
      <w:r>
        <w:t>Uso de drogas vasoativas</w:t>
      </w:r>
    </w:p>
    <w:p>
      <w:pPr>
        <w:pStyle w:val="ListBullet"/>
      </w:pPr>
      <w:r>
        <w:t>Uso de prostaglandina</w:t>
      </w:r>
    </w:p>
    <w:p>
      <w:pPr>
        <w:pStyle w:val="ListBullet"/>
      </w:pPr>
      <w:r>
        <w:t>Uso de antibióticos para tratamento de infecção grave</w:t>
      </w:r>
    </w:p>
    <w:p>
      <w:pPr>
        <w:pStyle w:val="ListBullet"/>
      </w:pPr>
      <w:r>
        <w:t>Transfusão de hemoderivados</w:t>
      </w:r>
    </w:p>
    <w:p>
      <w:pPr>
        <w:pStyle w:val="ListBullet"/>
      </w:pPr>
      <w:r>
        <w:t>Nutrição parenteral</w:t>
      </w:r>
    </w:p>
    <w:p>
      <w:pPr>
        <w:pStyle w:val="ListBullet"/>
      </w:pPr>
      <w:r>
        <w:t>Cirurgias de grande porte</w:t>
      </w:r>
    </w:p>
    <w:p>
      <w:pPr>
        <w:pStyle w:val="ListBullet"/>
      </w:pPr>
      <w:r>
        <w:t>Pós-operatório imediato de cirurgias de pequeno e médio porte</w:t>
      </w:r>
    </w:p>
    <w:p>
      <w:pPr>
        <w:pStyle w:val="ListBullet"/>
      </w:pPr>
      <w:r>
        <w:t>Fototerapia</w:t>
      </w:r>
    </w:p>
    <w:p>
      <w:pPr>
        <w:pStyle w:val="ListBullet"/>
      </w:pPr>
      <w:r>
        <w:t>Exsanguineotransfusão</w:t>
      </w:r>
    </w:p>
    <w:p>
      <w:pPr>
        <w:pStyle w:val="ListBullet"/>
      </w:pPr>
      <w:r>
        <w:t>Hidratação venosa</w:t>
      </w:r>
    </w:p>
    <w:p>
      <w:pPr>
        <w:pStyle w:val="ListBullet"/>
      </w:pPr>
      <w:r>
        <w:t>Alimentação por sonda</w:t>
      </w:r>
    </w:p>
    <w:p>
      <w:pPr>
        <w:pStyle w:val="ListBullet"/>
      </w:pPr>
      <w:r>
        <w:t>Nutrição enteral plena</w:t>
      </w:r>
    </w:p>
    <w:p>
      <w:pPr>
        <w:pStyle w:val="ListBullet"/>
      </w:pPr>
      <w:r>
        <w:t>CPAP ou Capuz em Fração de Oxigênio (FiO2)</w:t>
      </w:r>
    </w:p>
    <w:p>
      <w:pPr>
        <w:pStyle w:val="ListBullet"/>
      </w:pPr>
      <w:r>
        <w:t>Reanimação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2026-09-28T08:42:52.684496+00:00.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Portaria n 930 2012</dc:title>
  <dc:subject>humanizacao</dc:subject>
  <dc:creator>Ministério da Saúde</dc:creator>
  <cp:keywords>humanizacao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