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 — Trabalho Prático AV1 (Machine Learning)</w:t>
      </w:r>
    </w:p>
    <w:p>
      <w:pPr>
        <w:jc w:val="center"/>
      </w:pPr>
      <w:r>
        <w:rPr>
          <w:b/>
          <w:color w:val="1E3A8A"/>
          <w:sz w:val="24"/>
        </w:rPr>
        <w:t>Parte 1: Aprendizado Supervisionado — Problema 1: Regressão Linear ("O Preço Justo")</w:t>
      </w:r>
    </w:p>
    <w:p>
      <w:pPr>
        <w:jc w:val="center"/>
      </w:pPr>
      <w:r>
        <w:rPr>
          <w:i/>
        </w:rPr>
        <w:t>Dataset: house-prices.csv (1455 registros × 81 colunas) | Variável Alvo: SalePrice (US$)</w:t>
      </w:r>
    </w:p>
    <w:p>
      <w:pPr>
        <w:pStyle w:val="Heading1"/>
      </w:pPr>
      <w:r>
        <w:t>1. Análise Exploratória de Dados (EDA)</w:t>
      </w:r>
    </w:p>
    <w:p>
      <w:r>
        <w:rPr>
          <w:i/>
        </w:rPr>
        <w:t>Pergunta: Quais são as 3 variáveis que possuem a maior correlação linear positiva com o preço de venda (SalePrice)? Mostre isso através de um gráfico de dispersão (scatter plot) ou matriz de correlação.</w:t>
      </w:r>
    </w:p>
    <w:p>
      <w:r>
        <w:t>Por meio do Coeficiente de Correlação Linear de Pearson (r) calculado sobre todas as variáveis numéricas do dataset em relação ao preço de venda (SalePrice), identificamos que as 3 variáveis com maior correlação linear positiva são:</w:t>
      </w:r>
    </w:p>
    <w:p>
      <w:pPr>
        <w:pStyle w:val="ListNumber"/>
      </w:pPr>
      <w:r>
        <w:rPr>
          <w:b/>
        </w:rPr>
        <w:t xml:space="preserve">OverallQual (r = 0.7918): </w:t>
      </w:r>
      <w:r>
        <w:t>Avalia a qualidade geral dos materiais e do acabamento da residência (escala de 1 a 10). É o preditor isolado mais forte de valorização do imóvel.</w:t>
      </w:r>
    </w:p>
    <w:p>
      <w:pPr>
        <w:pStyle w:val="ListNumber"/>
      </w:pPr>
      <w:r>
        <w:rPr>
          <w:b/>
        </w:rPr>
        <w:t xml:space="preserve">GrLivArea (r = 0.7012): </w:t>
      </w:r>
      <w:r>
        <w:t>Representa a área útil habitável acima do nível do solo (em pés quadrados / sq ft). Apresenta forte relação linear positiva com o preço final de venda.</w:t>
      </w:r>
    </w:p>
    <w:p>
      <w:pPr>
        <w:pStyle w:val="ListNumber"/>
      </w:pPr>
      <w:r>
        <w:rPr>
          <w:b/>
        </w:rPr>
        <w:t xml:space="preserve">GarageCars (r = 0.6430): </w:t>
      </w:r>
      <w:r>
        <w:t>Capacidade da garagem medida pelo número de vagas de veículos (seguida por GarageArea com r = 0.6272 e TotalBsmtSF com r = 0.6040), atuando como indicador direto do porte construtivo do imóvel.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Posição</w:t>
            </w:r>
          </w:p>
        </w:tc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Correlação de Pearson (r)</w:t>
            </w:r>
          </w:p>
        </w:tc>
      </w:tr>
      <w:tr>
        <w:tc>
          <w:tcPr>
            <w:tcW w:type="dxa" w:w="2880"/>
          </w:tcPr>
          <w:p>
            <w:r>
              <w:t>1º</w:t>
            </w:r>
          </w:p>
        </w:tc>
        <w:tc>
          <w:tcPr>
            <w:tcW w:type="dxa" w:w="2880"/>
          </w:tcPr>
          <w:p>
            <w:r>
              <w:t>OverallQual</w:t>
            </w:r>
          </w:p>
        </w:tc>
        <w:tc>
          <w:tcPr>
            <w:tcW w:type="dxa" w:w="2880"/>
          </w:tcPr>
          <w:p>
            <w:r>
              <w:t>0.7918</w:t>
            </w:r>
          </w:p>
        </w:tc>
      </w:tr>
      <w:tr>
        <w:tc>
          <w:tcPr>
            <w:tcW w:type="dxa" w:w="2880"/>
          </w:tcPr>
          <w:p>
            <w:r>
              <w:t>2º</w:t>
            </w:r>
          </w:p>
        </w:tc>
        <w:tc>
          <w:tcPr>
            <w:tcW w:type="dxa" w:w="2880"/>
          </w:tcPr>
          <w:p>
            <w:r>
              <w:t>GrLivArea</w:t>
            </w:r>
          </w:p>
        </w:tc>
        <w:tc>
          <w:tcPr>
            <w:tcW w:type="dxa" w:w="2880"/>
          </w:tcPr>
          <w:p>
            <w:r>
              <w:t>0.7012</w:t>
            </w:r>
          </w:p>
        </w:tc>
      </w:tr>
      <w:tr>
        <w:tc>
          <w:tcPr>
            <w:tcW w:type="dxa" w:w="2880"/>
          </w:tcPr>
          <w:p>
            <w:r>
              <w:t>3º</w:t>
            </w:r>
          </w:p>
        </w:tc>
        <w:tc>
          <w:tcPr>
            <w:tcW w:type="dxa" w:w="2880"/>
          </w:tcPr>
          <w:p>
            <w:r>
              <w:t>GarageCars</w:t>
            </w:r>
          </w:p>
        </w:tc>
        <w:tc>
          <w:tcPr>
            <w:tcW w:type="dxa" w:w="2880"/>
          </w:tcPr>
          <w:p>
            <w:r>
              <w:t>0.6430</w:t>
            </w:r>
          </w:p>
        </w:tc>
      </w:tr>
      <w:tr>
        <w:tc>
          <w:tcPr>
            <w:tcW w:type="dxa" w:w="2880"/>
          </w:tcPr>
          <w:p>
            <w:r>
              <w:t>4º</w:t>
            </w:r>
          </w:p>
        </w:tc>
        <w:tc>
          <w:tcPr>
            <w:tcW w:type="dxa" w:w="2880"/>
          </w:tcPr>
          <w:p>
            <w:r>
              <w:t>GarageArea</w:t>
            </w:r>
          </w:p>
        </w:tc>
        <w:tc>
          <w:tcPr>
            <w:tcW w:type="dxa" w:w="2880"/>
          </w:tcPr>
          <w:p>
            <w:r>
              <w:t>0.6272</w:t>
            </w:r>
          </w:p>
        </w:tc>
      </w:tr>
      <w:tr>
        <w:tc>
          <w:tcPr>
            <w:tcW w:type="dxa" w:w="2880"/>
          </w:tcPr>
          <w:p>
            <w:r>
              <w:t>5º</w:t>
            </w:r>
          </w:p>
        </w:tc>
        <w:tc>
          <w:tcPr>
            <w:tcW w:type="dxa" w:w="2880"/>
          </w:tcPr>
          <w:p>
            <w:r>
              <w:t>TotalBsmtSF</w:t>
            </w:r>
          </w:p>
        </w:tc>
        <w:tc>
          <w:tcPr>
            <w:tcW w:type="dxa" w:w="2880"/>
          </w:tcPr>
          <w:p>
            <w:r>
              <w:t>0.6040</w:t>
            </w:r>
          </w:p>
        </w:tc>
      </w:tr>
      <w:tr>
        <w:tc>
          <w:tcPr>
            <w:tcW w:type="dxa" w:w="2880"/>
          </w:tcPr>
          <w:p>
            <w:r>
              <w:t>6º</w:t>
            </w:r>
          </w:p>
        </w:tc>
        <w:tc>
          <w:tcPr>
            <w:tcW w:type="dxa" w:w="2880"/>
          </w:tcPr>
          <w:p>
            <w:r>
              <w:t>1stFlrSF</w:t>
            </w:r>
          </w:p>
        </w:tc>
        <w:tc>
          <w:tcPr>
            <w:tcW w:type="dxa" w:w="2880"/>
          </w:tcPr>
          <w:p>
            <w:r>
              <w:t>0.5980</w:t>
            </w:r>
          </w:p>
        </w:tc>
      </w:tr>
      <w:tr>
        <w:tc>
          <w:tcPr>
            <w:tcW w:type="dxa" w:w="2880"/>
          </w:tcPr>
          <w:p>
            <w:r>
              <w:t>7º</w:t>
            </w:r>
          </w:p>
        </w:tc>
        <w:tc>
          <w:tcPr>
            <w:tcW w:type="dxa" w:w="2880"/>
          </w:tcPr>
          <w:p>
            <w:r>
              <w:t>FullBath</w:t>
            </w:r>
          </w:p>
        </w:tc>
        <w:tc>
          <w:tcPr>
            <w:tcW w:type="dxa" w:w="2880"/>
          </w:tcPr>
          <w:p>
            <w:r>
              <w:t>0.5605</w:t>
            </w:r>
          </w:p>
        </w:tc>
      </w:tr>
      <w:tr>
        <w:tc>
          <w:tcPr>
            <w:tcW w:type="dxa" w:w="2880"/>
          </w:tcPr>
          <w:p>
            <w:r>
              <w:t>8º</w:t>
            </w:r>
          </w:p>
        </w:tc>
        <w:tc>
          <w:tcPr>
            <w:tcW w:type="dxa" w:w="2880"/>
          </w:tcPr>
          <w:p>
            <w:r>
              <w:t>TotRmsAbvGrd</w:t>
            </w:r>
          </w:p>
        </w:tc>
        <w:tc>
          <w:tcPr>
            <w:tcW w:type="dxa" w:w="2880"/>
          </w:tcPr>
          <w:p>
            <w:r>
              <w:t>0.5302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riz_correl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atter_top3_correl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Tratamento de Dados (Valores Nulos)</w:t>
      </w:r>
    </w:p>
    <w:p>
      <w:r>
        <w:rPr>
          <w:i/>
        </w:rPr>
        <w:t>Pergunta: O dataset possui valores nulos (missing values). Escolha duas colunas com valores nulos: uma numérica e uma categórica. Como você tratou cada uma delas (ex: preencheu com a média, moda, ou apagou a linha)? Justifique sua escolha.</w:t>
      </w:r>
    </w:p>
    <w:p>
      <w:r>
        <w:t>A inspeção estrutural do dataset revelou que 19 das 81 colunas apresentam valores ausentes. Selecionamos a coluna numérica LotFrontage e a coluna categórica GarageType para detalhar a estratégia técnica adotada:</w:t>
      </w:r>
    </w:p>
    <w:p>
      <w:pPr>
        <w:pStyle w:val="ListBullet"/>
      </w:pPr>
      <w:r>
        <w:rPr>
          <w:b/>
        </w:rPr>
        <w:t xml:space="preserve">Coluna Numérica — LotFrontage (259 valores nulos / 17,80% dos imóveis): </w:t>
      </w:r>
      <w:r>
        <w:t>Foi tratada via imputação pela MEDIANA (69.0 pés lineares). Justificativa: apagar as 259 linhas com valores nulos eliminaria quase 18% da base de treinamento, reduzindo drasticamente a capacidade de generalização do modelo e impedindo a predição caso algum dos 5 imóveis secretos não possua essa medida cadastrada. Optou-se pela mediana (69.0 ft) em vez da média (70.0 ft) porque a distribuição de LotFrontage possui assimetria positiva (outliers com terrenos superiores a 300 pés), tornando a mediana estatisticamente robusta.</w:t>
      </w:r>
    </w:p>
    <w:p>
      <w:pPr>
        <w:pStyle w:val="ListBullet"/>
      </w:pPr>
      <w:r>
        <w:rPr>
          <w:b/>
        </w:rPr>
        <w:t xml:space="preserve">Coluna Categórica — GarageType (79 valores nulos / 5,43% dos imóveis): </w:t>
      </w:r>
      <w:r>
        <w:t>Foi tratada preenchendo os nulos com uma nova categoria explícita denominada 'None' (Sem Garagem). Justificativa: no dicionário de dados da base Ames Housing, o valor NA em GarageType (assim como em FireplaceQu, PoolQC, Alley e Fence) não representa falha de coleta, mas sim que o imóvel não possui garagem (confirmado por GarageCars = 0 e GarageArea = 0 nesses mesmos registros). Caso preenchêssemos pela moda ('Attchd' — garagem anexada), cometeríamos um erro conceitual grave, atribuindo garagem a 79 imóveis que não a possuem.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65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tamento_valores_nu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Engenharia de Atributos (Codificação de Variáveis Categóricas)</w:t>
      </w:r>
    </w:p>
    <w:p>
      <w:r>
        <w:rPr>
          <w:i/>
        </w:rPr>
        <w:t>Pergunta: Transforme pelo menos duas variáveis categóricas em numéricas (usando One-Hot Encoding ou Label Encoding). Explique por que o modelo de Regressão Linear exige essa conversão.</w:t>
      </w:r>
    </w:p>
    <w:p>
      <w:r>
        <w:t>Realizamos a conversão combinando as duas técnicas de acordo com a semântica de cada atributo categórico:</w:t>
      </w:r>
    </w:p>
    <w:p>
      <w:pPr>
        <w:pStyle w:val="ListNumber"/>
      </w:pPr>
      <w:r>
        <w:rPr>
          <w:b/>
        </w:rPr>
        <w:t xml:space="preserve">Ordinal / Label Encoding nas variáveis ExterQual e KitchenQual: </w:t>
      </w:r>
      <w:r>
        <w:t>Atributos que avaliam estado e qualidade possuem hierarquia natural estrita: None (0) &lt; Po (1) &lt; Fa (2) &lt; TA (3) &lt; Gd (4) &lt; Ex (5). O mapeamento ordinal preserva a progressão numérica de qualidade em uma única coluna.</w:t>
      </w:r>
    </w:p>
    <w:p>
      <w:pPr>
        <w:pStyle w:val="ListNumber"/>
      </w:pPr>
      <w:r>
        <w:rPr>
          <w:b/>
        </w:rPr>
        <w:t xml:space="preserve">One-Hot Encoding nas variáveis Neighborhood, GarageType e MSZoning: </w:t>
      </w:r>
      <w:r>
        <w:t>Atributos nominais sem relação de ordem foram convertidos em variáveis binárias (0 ou 1) via pd.get_dummies com drop_first=True (evitando multicolinearidade perfeita / Dummy Variable Trap).</w:t>
      </w:r>
    </w:p>
    <w:p>
      <w:pPr>
        <w:pStyle w:val="ListNumber"/>
      </w:pPr>
      <w:r>
        <w:rPr>
          <w:b/>
        </w:rPr>
        <w:t xml:space="preserve">Engenharia de Atributos de Domínio Imobiliário (Modelo Hedônico): </w:t>
      </w:r>
      <w:r>
        <w:t>Adicionamos variáveis de síntese estrutural: Área Construída Total (TotalSF = TotalBsmtSF + 1stFlrSF + 2ndFlrSF), Total Ponderado de Banheiros (TotalBath), Idade do Imóvel (HouseAge), interações entre acabamento e área (Qual_x_TotalSF = OverallQual * TotalSF) e o Índice Hedônico de Preço Mediano por sq ft do Bairro (Neigh_PPSF, calculado exclusivamente sobre o conjunto de treino sem vazamento de dados). Ao todo, o espaço de features passou de 79 atributos para 250 variáveis numéricas.</w:t>
      </w:r>
    </w:p>
    <w:p>
      <w:r>
        <w:rPr>
          <w:b/>
        </w:rPr>
        <w:t xml:space="preserve">Por que a Regressão Linear exige essa conversão? </w:t>
      </w:r>
      <w:r>
        <w:t>O modelo de Regressão Linear Múltipla estima o preço através da equação algébrica y = β0 + β1*x1 + β2*x2 + ... + βp*xp, resolvendo operações matriciais no espaço vetorial real (como o produto escalar X^T * X). Valores em texto (strings como 'CollgCr' ou 'Gable') não admitem operações aritméticas de multiplicação por pesos (β) nem soma; portanto, é obrigatório representá-los numericamente para que o algoritmo ajuste o hiperplano ótimo.</w:t>
      </w:r>
    </w:p>
    <w:p>
      <w:pPr>
        <w:pStyle w:val="Heading1"/>
      </w:pPr>
      <w:r>
        <w:t>4. Treinamento, Baseline e Interpretação de Negócios</w:t>
      </w:r>
    </w:p>
    <w:p>
      <w:r>
        <w:rPr>
          <w:i/>
        </w:rPr>
        <w:t>Pergunta: Separe os dados em treino e teste (ex: 80/20). Treine um modelo de Regressão Linear múltipla básico. Sem fazer ajustes avançados, qual foi o R² (R-quadrado) obtido nos dados de teste? O que esse número significa para a imobiliária?</w:t>
      </w:r>
    </w:p>
    <w:p>
      <w:r>
        <w:t>O dataset foi particionado em 80% para treino (1164 imóveis) e 20% para teste (291 imóveis) com semente fixa (random_state=42). Avaliamos tanto o modelo de Regressão Linear Múltipla Básico (Baseline) quanto um Pipeline Otimizado para a Competição (Ensemble de Ridge + Lasso + Gradient Boosting sobre log(SalePrice) focado em minimizar o MAE):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 Avaliado (Teste 20%)</w:t>
            </w:r>
          </w:p>
        </w:tc>
        <w:tc>
          <w:tcPr>
            <w:tcW w:type="dxa" w:w="1728"/>
          </w:tcPr>
          <w:p>
            <w:r>
              <w:t>R² (R-Quadrado)</w:t>
            </w:r>
          </w:p>
        </w:tc>
        <w:tc>
          <w:tcPr>
            <w:tcW w:type="dxa" w:w="1728"/>
          </w:tcPr>
          <w:p>
            <w:r>
              <w:t>MAE (US$)</w:t>
            </w:r>
          </w:p>
        </w:tc>
        <w:tc>
          <w:tcPr>
            <w:tcW w:type="dxa" w:w="1728"/>
          </w:tcPr>
          <w:p>
            <w:r>
              <w:t>RMSE (US$)</w:t>
            </w:r>
          </w:p>
        </w:tc>
        <w:tc>
          <w:tcPr>
            <w:tcW w:type="dxa" w:w="1728"/>
          </w:tcPr>
          <w:p>
            <w:r>
              <w:t>MAPE (%)</w:t>
            </w:r>
          </w:p>
        </w:tc>
      </w:tr>
      <w:tr>
        <w:tc>
          <w:tcPr>
            <w:tcW w:type="dxa" w:w="1728"/>
          </w:tcPr>
          <w:p>
            <w:r>
              <w:t>1. Regressão Linear Múltipla (Baseline)</w:t>
            </w:r>
          </w:p>
        </w:tc>
        <w:tc>
          <w:tcPr>
            <w:tcW w:type="dxa" w:w="1728"/>
          </w:tcPr>
          <w:p>
            <w:r>
              <w:t>0.9250 (92.50%)</w:t>
            </w:r>
          </w:p>
        </w:tc>
        <w:tc>
          <w:tcPr>
            <w:tcW w:type="dxa" w:w="1728"/>
          </w:tcPr>
          <w:p>
            <w:r>
              <w:t>US$ 13,267.09</w:t>
            </w:r>
          </w:p>
        </w:tc>
        <w:tc>
          <w:tcPr>
            <w:tcW w:type="dxa" w:w="1728"/>
          </w:tcPr>
          <w:p>
            <w:r>
              <w:t>US$ 18,930.09</w:t>
            </w:r>
          </w:p>
        </w:tc>
        <w:tc>
          <w:tcPr>
            <w:tcW w:type="dxa" w:w="1728"/>
          </w:tcPr>
          <w:p>
            <w:r>
              <w:t>8.86%</w:t>
            </w:r>
          </w:p>
        </w:tc>
      </w:tr>
      <w:tr>
        <w:tc>
          <w:tcPr>
            <w:tcW w:type="dxa" w:w="1728"/>
          </w:tcPr>
          <w:p>
            <w:r>
              <w:t>2. Pipeline Otimizado (Competição MAE)</w:t>
            </w:r>
          </w:p>
        </w:tc>
        <w:tc>
          <w:tcPr>
            <w:tcW w:type="dxa" w:w="1728"/>
          </w:tcPr>
          <w:p>
            <w:r>
              <w:t>0.9380 (93.80%)</w:t>
            </w:r>
          </w:p>
        </w:tc>
        <w:tc>
          <w:tcPr>
            <w:tcW w:type="dxa" w:w="1728"/>
          </w:tcPr>
          <w:p>
            <w:r>
              <w:t>US$ 10,732.89</w:t>
            </w:r>
          </w:p>
        </w:tc>
        <w:tc>
          <w:tcPr>
            <w:tcW w:type="dxa" w:w="1728"/>
          </w:tcPr>
          <w:p>
            <w:r>
              <w:t>US$ 17,211.31</w:t>
            </w:r>
          </w:p>
        </w:tc>
        <w:tc>
          <w:tcPr>
            <w:tcW w:type="dxa" w:w="1728"/>
          </w:tcPr>
          <w:p>
            <w:r>
              <w:t>6.98%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85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valiacao_regressao_lin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Significado do R² = 0.9250 (92.50%) para a Imobiliária:</w:t>
        <w:br/>
      </w:r>
      <w:r>
        <w:t>1. Poder Explicativo de Mercado: O coeficiente de determinação R² de 0.9250 significa que 92.50% de toda a variabilidade nos preços dos imóveis é explicada pelas variáveis estruturais e de localização presentes no modelo. Para a imobiliária, isso comprova que a precificação automatizada é altamente aderente à realidade de mercado.</w:t>
        <w:br/>
        <w:t>2. Risco Financeiro e Precisão Comercial: No modelo baseline, o Erro Absoluto Médio (MAE) foi de US$ 13,267.09 (8.86% de desvio médio). Já utilizando o Pipeline Otimizado para a Competição, o R² atinge 0.9380 (93.80%) e o MAE cai para US$ 10,732.89 (6.98%), garantindo estimativas precisas para evitar tanto a subprecificação (perda de comissão/patrimônio) quanto a sobreprecificação (imóvel encalhado em carteira).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