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60"/>
        <w:jc w:val="center"/>
        <w:rPr/>
      </w:pPr>
      <w:r>
        <w:rPr>
          <w:rFonts w:eastAsia="Times New Roman" w:cs="Times New Roman"/>
          <w:b/>
          <w:bCs/>
          <w:sz w:val="22"/>
          <w:szCs w:val="22"/>
        </w:rPr>
        <w:t>UNIVERZITA KOMENSKÉHO V BRATISLAVE</w:t>
      </w:r>
    </w:p>
    <w:p>
      <w:pPr>
        <w:pStyle w:val="Normal"/>
        <w:spacing w:lineRule="auto" w:line="276" w:before="0" w:after="360"/>
        <w:jc w:val="center"/>
        <w:rPr/>
      </w:pPr>
      <w:r>
        <w:rPr>
          <w:rFonts w:eastAsia="Times New Roman" w:cs="Times New Roman"/>
          <w:b/>
          <w:bCs/>
          <w:sz w:val="22"/>
          <w:szCs w:val="22"/>
        </w:rPr>
        <w:t>FAKULTA MANAGEMENTU</w:t>
      </w:r>
    </w:p>
    <w:p>
      <w:pPr>
        <w:pStyle w:val="Normal"/>
        <w:spacing w:lineRule="auto" w:line="276" w:before="0" w:after="60"/>
        <w:jc w:val="center"/>
        <w:rPr/>
      </w:pPr>
      <w:r>
        <w:rPr>
          <w:rFonts w:eastAsia="Times New Roman" w:cs="Times New Roman"/>
          <w:b/>
          <w:bCs/>
          <w:sz w:val="32"/>
          <w:szCs w:val="32"/>
        </w:rPr>
        <w:t>Does Investor Fear Travel?</w:t>
      </w:r>
    </w:p>
    <w:p>
      <w:pPr>
        <w:pStyle w:val="Normal"/>
        <w:spacing w:lineRule="auto" w:line="276" w:before="0" w:after="240"/>
        <w:jc w:val="center"/>
        <w:rPr/>
      </w:pPr>
      <w:r>
        <w:rPr>
          <w:rFonts w:eastAsia="Times New Roman" w:cs="Times New Roman"/>
          <w:b/>
          <w:bCs/>
          <w:sz w:val="24"/>
          <w:szCs w:val="24"/>
        </w:rPr>
        <w:t>VIX Spillovers and Equity Return Predictability in Central European Markets</w:t>
      </w:r>
    </w:p>
    <w:p>
      <w:pPr>
        <w:pStyle w:val="Normal"/>
        <w:spacing w:lineRule="auto" w:line="276" w:before="0" w:after="60"/>
        <w:jc w:val="center"/>
        <w:rPr/>
      </w:pPr>
      <w:r>
        <w:rPr>
          <w:rFonts w:eastAsia="Times New Roman" w:cs="Times New Roman"/>
          <w:sz w:val="24"/>
          <w:szCs w:val="24"/>
        </w:rPr>
        <w:t>ŠVOČ 2026, Sekcia: Ekonómia a financie</w:t>
      </w:r>
    </w:p>
    <w:p>
      <w:pPr>
        <w:pStyle w:val="Normal"/>
        <w:spacing w:lineRule="auto" w:line="276" w:before="0" w:after="60"/>
        <w:jc w:val="center"/>
        <w:rPr/>
      </w:pPr>
      <w:r>
        <w:rPr>
          <w:rFonts w:eastAsia="Times New Roman" w:cs="Times New Roman"/>
          <w:i/>
          <w:iCs/>
          <w:sz w:val="24"/>
          <w:szCs w:val="24"/>
        </w:rPr>
        <w:t>Autor: Herman Kaufman   |   Konzultant: Urban Kovac</w:t>
      </w:r>
    </w:p>
    <w:p>
      <w:pPr>
        <w:pStyle w:val="Normal"/>
        <w:spacing w:lineRule="auto" w:line="276" w:before="0" w:after="360"/>
        <w:jc w:val="center"/>
        <w:rPr/>
      </w:pPr>
      <w:r>
        <w:rPr>
          <w:rFonts w:eastAsia="Times New Roman" w:cs="Times New Roman"/>
          <w:sz w:val="24"/>
          <w:szCs w:val="24"/>
        </w:rPr>
        <w:t>Bratislava, 2026</w:t>
      </w:r>
    </w:p>
    <w:p>
      <w:pPr>
        <w:pStyle w:val="Heading1"/>
        <w:spacing w:lineRule="auto" w:line="276" w:before="360" w:after="200"/>
        <w:rPr/>
      </w:pPr>
      <w:r>
        <w:rPr>
          <w:rFonts w:eastAsia="Times New Roman" w:cs="Times New Roman"/>
          <w:b/>
          <w:bCs/>
          <w:sz w:val="28"/>
          <w:szCs w:val="28"/>
        </w:rPr>
        <w:t>Abstract</w:t>
      </w:r>
    </w:p>
    <w:p>
      <w:pPr>
        <w:pStyle w:val="Normal"/>
        <w:spacing w:lineRule="auto" w:line="276" w:before="0" w:after="60"/>
        <w:jc w:val="both"/>
        <w:rPr/>
      </w:pPr>
      <w:r>
        <w:rPr>
          <w:rFonts w:eastAsia="Times New Roman" w:cs="Times New Roman"/>
          <w:sz w:val="24"/>
          <w:szCs w:val="24"/>
        </w:rPr>
        <w:t>This paper examines whether the CBOE Volatility Index (VIX) contains predictive information for next-day returns in four Central European equity markets: the WIG20 (Poland), BUX (Hungary), PX (Czech Republic), and ATX (Austria). Daily data over 2018 to 2024 are analyzed using five specifications: a baseline OLS regression with Newey-West HAC standard errors, rolling 252-day window estimation, a regime decomposition, GARCH(1,1) standardization, and pre/post-COVID subperiod regressions. Daily VIX changes negatively predict next-day CEE returns in all four markets. Following GARCH standardization, the coefficient achieves significance at the 1 percent level across markets, with rolling-window estimates negative in over 97 percent of windows. Predictive strength is greatest during calm regimes and in the pre-COVID subperiod, where R² reaches 9.4 percent for the PX.</w:t>
      </w:r>
    </w:p>
    <w:p>
      <w:pPr>
        <w:pStyle w:val="Normal"/>
        <w:spacing w:lineRule="auto" w:line="276"/>
        <w:rPr/>
      </w:pPr>
      <w:r>
        <w:rPr/>
      </w:r>
    </w:p>
    <w:p>
      <w:pPr>
        <w:pStyle w:val="Normal"/>
        <w:spacing w:lineRule="auto" w:line="276" w:before="0" w:after="60"/>
        <w:jc w:val="both"/>
        <w:rPr/>
      </w:pPr>
      <w:r>
        <w:rPr>
          <w:rFonts w:eastAsia="Times New Roman" w:cs="Times New Roman"/>
          <w:b/>
          <w:bCs/>
          <w:sz w:val="24"/>
          <w:szCs w:val="24"/>
        </w:rPr>
        <w:t xml:space="preserve">Keywords: </w:t>
      </w:r>
      <w:r>
        <w:rPr>
          <w:rFonts w:eastAsia="Times New Roman" w:cs="Times New Roman"/>
          <w:sz w:val="24"/>
          <w:szCs w:val="24"/>
        </w:rPr>
        <w:t>VIX, volatility spillovers, return predictability, Central European equity markets, Newey-West regression, GARCH</w:t>
      </w:r>
    </w:p>
    <w:p>
      <w:pPr>
        <w:pStyle w:val="Normal"/>
        <w:spacing w:lineRule="auto" w:line="276" w:before="0" w:after="60"/>
        <w:jc w:val="both"/>
        <w:rPr/>
      </w:pPr>
      <w:r>
        <w:rPr>
          <w:rFonts w:eastAsia="Times New Roman" w:cs="Times New Roman"/>
          <w:b/>
          <w:bCs/>
          <w:sz w:val="24"/>
          <w:szCs w:val="24"/>
        </w:rPr>
        <w:t xml:space="preserve">JEL Classification: </w:t>
      </w:r>
      <w:r>
        <w:rPr>
          <w:rFonts w:eastAsia="Times New Roman" w:cs="Times New Roman"/>
          <w:sz w:val="24"/>
          <w:szCs w:val="24"/>
        </w:rPr>
        <w:t>G14, G15, G17, C58</w:t>
      </w:r>
    </w:p>
    <w:p>
      <w:pPr>
        <w:pStyle w:val="Normal"/>
        <w:rPr/>
      </w:pPr>
      <w:r>
        <w:rPr/>
      </w:r>
      <w:r>
        <w:br w:type="page"/>
      </w:r>
    </w:p>
    <w:p>
      <w:pPr>
        <w:pStyle w:val="Heading1"/>
        <w:spacing w:lineRule="auto" w:line="276" w:before="0" w:after="200"/>
        <w:rPr/>
      </w:pPr>
      <w:r>
        <w:rPr>
          <w:rFonts w:eastAsia="Times New Roman" w:cs="Times New Roman"/>
          <w:b/>
          <w:bCs/>
          <w:sz w:val="28"/>
          <w:szCs w:val="28"/>
        </w:rPr>
        <w:t>1  Introduction</w:t>
      </w:r>
    </w:p>
    <w:p>
      <w:pPr>
        <w:pStyle w:val="Normal"/>
        <w:spacing w:lineRule="auto" w:line="276" w:before="0" w:after="60"/>
        <w:jc w:val="both"/>
        <w:rPr/>
      </w:pPr>
      <w:r>
        <w:rPr>
          <w:rFonts w:eastAsia="Times New Roman" w:cs="Times New Roman"/>
          <w:sz w:val="24"/>
          <w:szCs w:val="24"/>
        </w:rPr>
        <w:t>On 16 March 2020 the CBOE Volatility Index closed at 82.69, its highest single-day reading since the 2008 financial crisis. Within hours of the US market close, the equity markets of Central Europe opened the following session sharply lower. The Polish WIG20 lost more than 14 percent in the days that followed, the Hungarian BUX declined by over 12 percent, and the Austrian ATX fell by nearly 15 percent. A similar, if less severe, episode of synchronous regional decline followed the Russian invasion of Ukraine in February 2022.</w:t>
      </w:r>
    </w:p>
    <w:p>
      <w:pPr>
        <w:pStyle w:val="Normal"/>
        <w:spacing w:lineRule="auto" w:line="276" w:before="0" w:after="60"/>
        <w:jc w:val="both"/>
        <w:rPr/>
      </w:pPr>
      <w:r>
        <w:rPr>
          <w:rFonts w:eastAsia="Times New Roman" w:cs="Times New Roman"/>
          <w:sz w:val="24"/>
          <w:szCs w:val="24"/>
        </w:rPr>
        <w:t>This paper investigates that transmission empirically. The central research question is whether the contemporaneous VIX level and the contemporaneous VIX change contain information about next-day returns in four Central European equity markets: the WIG20 (Poland), BUX (Hungary), PX (Czech Republic), and ATX (Austria). The framing is asymmetric: not whether CEE markets co-move contemporaneously with the VIX, a relationship already well documented in the integration literature, but whether the VIX, observed at the close of the US trading session on day t, contains incremental predictive content for CEE log returns realized on day t+1, after CEE markets have opened at prices reflecting the prior session's information.</w:t>
      </w:r>
    </w:p>
    <w:p>
      <w:pPr>
        <w:pStyle w:val="Normal"/>
        <w:spacing w:lineRule="auto" w:line="276" w:before="0" w:after="60"/>
        <w:jc w:val="both"/>
        <w:rPr/>
      </w:pPr>
      <w:r>
        <w:rPr>
          <w:rFonts w:eastAsia="Times New Roman" w:cs="Times New Roman"/>
          <w:sz w:val="24"/>
          <w:szCs w:val="24"/>
        </w:rPr>
        <w:t>The CEE region is well suited for addressing this question. All four markets are members of the European Union and are integrated into European financial markets, however, retain meaningful institutional differences from the developed European core and from one another. The PX and the ATX are the most globally integrated, with the Vienna Stock Exchange serving as a regional bridge between Central Europe and Western markets. The BUX and WIG20 retain more pronounced local-factor exposure. This institutional heterogeneity allows for a natural cross-sectional test of whether VIX predictability varies systematically with the degree of financial integration, which is the substantive content of hypothesis H2.</w:t>
      </w:r>
    </w:p>
    <w:p>
      <w:pPr>
        <w:pStyle w:val="Normal"/>
        <w:spacing w:lineRule="auto" w:line="276" w:before="0" w:after="60"/>
        <w:jc w:val="both"/>
        <w:rPr/>
      </w:pPr>
      <w:r>
        <w:rPr>
          <w:rFonts w:eastAsia="Times New Roman" w:cs="Times New Roman"/>
          <w:sz w:val="24"/>
          <w:szCs w:val="24"/>
        </w:rPr>
        <w:t>The empirical approach consists of five complementary specifications. The baseline is a predictive OLS regression of next-day CEE log returns on today's VIX level and VIX change, with Newey-West HAC standard errors at a lag of five trading days. Stability over time is examined through rolling 252-day window re-estimation. Calm and crisis regimes are identified through an interaction specification that interacts the VIX change with a binary indicator equal to one when VIX exceeds 25. Heteroskedasticity is addressed through GARCH(1,1) standardization of returns and re-estimation of the baseline. Finally, a pre-COVID versus post-COVID subperiod decomposition assesses stability across structurally distinct sample periods.</w:t>
      </w:r>
    </w:p>
    <w:p>
      <w:pPr>
        <w:pStyle w:val="Normal"/>
        <w:spacing w:lineRule="auto" w:line="276" w:before="0" w:after="60"/>
        <w:jc w:val="both"/>
        <w:rPr/>
      </w:pPr>
      <w:r>
        <w:rPr>
          <w:rFonts w:eastAsia="Times New Roman" w:cs="Times New Roman"/>
          <w:sz w:val="24"/>
          <w:szCs w:val="24"/>
        </w:rPr>
        <w:t>The results indicate that daily VIX changes negatively predict next-day CEE returns in all four markets. Baseline estimates cluster around −0.0008 per VIX point, negligible on a typical day but substantial during stress episodes when VIX moves by 10 to 15 points. The coefficient is negative in 97 to 99 percent of rolling windows. Following GARCH(1,1) standardization, significance reaches the 1 percent level in every market. In the pre-COVID subperiod, R² for the PX reaches 9.4 percent, exceptionally high for daily-frequency return predictability. The regime analysis produces a result contrary to expectation: predictability is approximately two to three times stronger during calm regimes, a finding attributed to the signal-to-noise dynamics of high-volatility episodes.</w:t>
      </w:r>
    </w:p>
    <w:p>
      <w:pPr>
        <w:pStyle w:val="Normal"/>
        <w:spacing w:lineRule="auto" w:line="276" w:before="0" w:after="60"/>
        <w:jc w:val="both"/>
        <w:rPr/>
      </w:pPr>
      <w:r>
        <w:rPr>
          <w:rFonts w:eastAsia="Times New Roman" w:cs="Times New Roman"/>
          <w:sz w:val="24"/>
          <w:szCs w:val="24"/>
        </w:rPr>
        <w:t>The remainder of the paper is organized as follows. Section 2 reviews the relevant literature on the VIX as a measure of investor sentiment, on international volatility spillovers, and on the integration of CEE equity markets with global markets. Section 3 describes the data and methodology in detail. Section 4 presents and discusses the empirical results. Section 5 concludes and identifies directions for future research.</w:t>
      </w:r>
    </w:p>
    <w:p>
      <w:pPr>
        <w:pStyle w:val="Heading1"/>
        <w:spacing w:lineRule="auto" w:line="276" w:before="360" w:after="200"/>
        <w:rPr/>
      </w:pPr>
      <w:r>
        <w:rPr>
          <w:rFonts w:eastAsia="Times New Roman" w:cs="Times New Roman"/>
          <w:b/>
          <w:bCs/>
          <w:sz w:val="28"/>
          <w:szCs w:val="28"/>
        </w:rPr>
        <w:t>2  Literature Review</w:t>
      </w:r>
    </w:p>
    <w:p>
      <w:pPr>
        <w:pStyle w:val="Heading2"/>
        <w:spacing w:lineRule="auto" w:line="276" w:before="240" w:after="120"/>
        <w:rPr/>
      </w:pPr>
      <w:r>
        <w:rPr>
          <w:rFonts w:eastAsia="Times New Roman" w:cs="Times New Roman"/>
          <w:b/>
          <w:bCs/>
          <w:sz w:val="24"/>
          <w:szCs w:val="24"/>
        </w:rPr>
        <w:t>2.1  The VIX as a Measure of Investor Fear</w:t>
      </w:r>
    </w:p>
    <w:p>
      <w:pPr>
        <w:pStyle w:val="Normal"/>
        <w:spacing w:lineRule="auto" w:line="276" w:before="0" w:after="60"/>
        <w:jc w:val="both"/>
        <w:rPr/>
      </w:pPr>
      <w:r>
        <w:rPr>
          <w:rFonts w:eastAsia="Times New Roman" w:cs="Times New Roman"/>
          <w:sz w:val="24"/>
          <w:szCs w:val="24"/>
        </w:rPr>
        <w:t>The CBOE Volatility Index was introduced by the Chicago Board Options Exchange in 1993 as a real-time gauge of expected stock market volatility over the subsequent thirty days. It is calculated from out-of-the-money put and call options on the S&amp;P 500 index, then weighted to provide a risk-neutral measure of expected return variance under standard option-pricing assumptions. Whaley (2000) popularized the informal designation "fear gauge," reflecting the observation that spikes in the VIX coincide with episodes of investor anxiety. The index therefore functions not only as a measure of expected volatility but also as a market sentiment indicator.</w:t>
      </w:r>
    </w:p>
    <w:p>
      <w:pPr>
        <w:pStyle w:val="Normal"/>
        <w:spacing w:lineRule="auto" w:line="276" w:before="0" w:after="60"/>
        <w:jc w:val="both"/>
        <w:rPr/>
      </w:pPr>
      <w:r>
        <w:rPr>
          <w:rFonts w:eastAsia="Times New Roman" w:cs="Times New Roman"/>
          <w:sz w:val="24"/>
          <w:szCs w:val="24"/>
        </w:rPr>
        <w:t>Subsequent research has refined the interpretation of the index. Bekaert and Hoerova (2014) decompose the squared VIX into a forecast of realized variance under the physical measure and a variance risk premium that compensates investors for bearing variance risk. The decomposition, however, has its implications: the VIX is neither pure expected volatility nor pure sentiment, but a combination of both, with the risk premium component particularly sensitive to fluctuations in investor risk aversion. Fernandes, Medeiros, and Scharth (2014) further link VIX fluctuations to specific macroeconomic news releases and to changes in trading activity at high frequencies.</w:t>
      </w:r>
    </w:p>
    <w:p>
      <w:pPr>
        <w:pStyle w:val="Normal"/>
        <w:spacing w:lineRule="auto" w:line="276" w:before="0" w:after="60"/>
        <w:jc w:val="both"/>
        <w:rPr/>
      </w:pPr>
      <w:r>
        <w:rPr>
          <w:rFonts w:eastAsia="Times New Roman" w:cs="Times New Roman"/>
          <w:sz w:val="24"/>
          <w:szCs w:val="24"/>
        </w:rPr>
        <w:t>Of particular relevance here is the predictive character of the VIX: the index encodes US risk perceptions that can transmit to other markets both through correlated discount rates and through shifts in global investor risk aversion.</w:t>
      </w:r>
    </w:p>
    <w:p>
      <w:pPr>
        <w:pStyle w:val="Heading2"/>
        <w:spacing w:lineRule="auto" w:line="276" w:before="240" w:after="120"/>
        <w:rPr/>
      </w:pPr>
      <w:r>
        <w:rPr>
          <w:rFonts w:eastAsia="Times New Roman" w:cs="Times New Roman"/>
          <w:b/>
          <w:bCs/>
          <w:sz w:val="24"/>
          <w:szCs w:val="24"/>
        </w:rPr>
        <w:t>2.2  International Sentiment Transmission and Volatility Spillovers</w:t>
      </w:r>
    </w:p>
    <w:p>
      <w:pPr>
        <w:pStyle w:val="Normal"/>
        <w:spacing w:lineRule="auto" w:line="276" w:before="0" w:after="60"/>
        <w:jc w:val="both"/>
        <w:rPr/>
      </w:pPr>
      <w:r>
        <w:rPr>
          <w:rFonts w:eastAsia="Times New Roman" w:cs="Times New Roman"/>
          <w:sz w:val="24"/>
          <w:szCs w:val="24"/>
        </w:rPr>
        <w:t>Evidence that US investor sentiment exerts a measurable influence on international equity returns is well-established in the literature. Baker, Wurgler, and Yuan (2012) constructed a global investor sentiment index and demonstrated that elevated sentiment in one market is associated with lower future returns in that market, and that sentiment shocks propagate across markets through both fundamental and behavioral channels. Their evidence is consistent with the view that sentiment is a contagious rather than a localized phenomenon. Given its size and global visibility, the US equity market persists to be a natural source of sentiment shocks for the rest of the world.</w:t>
      </w:r>
    </w:p>
    <w:p>
      <w:pPr>
        <w:pStyle w:val="Normal"/>
        <w:spacing w:lineRule="auto" w:line="276" w:before="0" w:after="60"/>
        <w:jc w:val="both"/>
        <w:rPr/>
      </w:pPr>
      <w:r>
        <w:rPr>
          <w:rFonts w:eastAsia="Times New Roman" w:cs="Times New Roman"/>
          <w:sz w:val="24"/>
          <w:szCs w:val="24"/>
        </w:rPr>
        <w:t>The transmission mechanism between markets is partly contemporaneous and partly delayed. Diebold and Yilmaz (2009, 2012) developed a framework for measuring directional volatility spillovers between markets and demonstrate, in their 2012 contribution, that the US equity market constitutes a substantial net transmitter of volatility shocks to other developed markets, particularly during crisis periods. For non-US markets that close after the US session has begun, such transmission occurs naturally, on a same-day basis. For markets that close before or in parallel with the US session, transmission necessarily occurs with a one-day delay.</w:t>
      </w:r>
    </w:p>
    <w:p>
      <w:pPr>
        <w:pStyle w:val="Normal"/>
        <w:spacing w:lineRule="auto" w:line="276" w:before="0" w:after="60"/>
        <w:jc w:val="both"/>
        <w:rPr/>
      </w:pPr>
      <w:r>
        <w:rPr>
          <w:rFonts w:eastAsia="Times New Roman" w:cs="Times New Roman"/>
          <w:sz w:val="24"/>
          <w:szCs w:val="24"/>
        </w:rPr>
        <w:t>The asymmetry of cross-market transmission is itself a well-established empirical finding. Forbes and Rigobon (2002) distinguish between interdependence, defined as the stable underlying correlation between markets, and contagion, defined as the elevated correlation observed during crisis periods after appropriate controls for volatility-driven biases. Their analysis demonstrates that much of what earlier work attributed to contagion is more accurately characterized as high-volatility interdependence.</w:t>
      </w:r>
    </w:p>
    <w:p>
      <w:pPr>
        <w:pStyle w:val="Heading2"/>
        <w:spacing w:lineRule="auto" w:line="276" w:before="240" w:after="120"/>
        <w:rPr/>
      </w:pPr>
      <w:r>
        <w:rPr>
          <w:rFonts w:eastAsia="Times New Roman" w:cs="Times New Roman"/>
          <w:b/>
          <w:bCs/>
          <w:sz w:val="24"/>
          <w:szCs w:val="24"/>
        </w:rPr>
        <w:t>2.3  Central and Eastern European Equity Market Integration</w:t>
      </w:r>
    </w:p>
    <w:p>
      <w:pPr>
        <w:pStyle w:val="Normal"/>
        <w:spacing w:lineRule="auto" w:line="276" w:before="0" w:after="60"/>
        <w:jc w:val="both"/>
        <w:rPr/>
      </w:pPr>
      <w:r>
        <w:rPr>
          <w:rFonts w:eastAsia="Times New Roman" w:cs="Times New Roman"/>
          <w:sz w:val="24"/>
          <w:szCs w:val="24"/>
        </w:rPr>
        <w:t>Research on the integration of Central and Eastern European equity markets with Western European and global markets has accumulated since the late 1990s, following the liberalization of capital flows and the accession of these economies to the European Union. Égert and Kočenda (2007) employ high-frequency intraday data to examine return co-movement between CEE markets and the major Western markets, documenting that integration deepened markedly over the course of the 2000s. Their results identify the post-accession period after May 2004 as a particularly important structural change, during which cross-border co-movement increased substantially.</w:t>
      </w:r>
    </w:p>
    <w:p>
      <w:pPr>
        <w:pStyle w:val="Normal"/>
        <w:spacing w:lineRule="auto" w:line="276" w:before="0" w:after="60"/>
        <w:jc w:val="both"/>
        <w:rPr/>
      </w:pPr>
      <w:r>
        <w:rPr>
          <w:rFonts w:eastAsia="Times New Roman" w:cs="Times New Roman"/>
          <w:sz w:val="24"/>
          <w:szCs w:val="24"/>
        </w:rPr>
        <w:t>The specific question addressed here, namely whether the VIX as a single, publicly observable US sentiment measure predicts next-day returns in CEE markets, has received less direct attention than the broader literature on volatility spillovers. The Diebold-Yilmaz framework measures spillovers between volatility series, the present question concerns the predictability of returns from a volatility index. Welch and Goyal (2008) provide a comprehensive survey of the equity-premium prediction literature and emphasize the importance of out-of-sample stability for any claimed predictor, a concern addressed in this paper through explicit subperiod analysis.</w:t>
      </w:r>
    </w:p>
    <w:p>
      <w:pPr>
        <w:pStyle w:val="Heading2"/>
        <w:spacing w:lineRule="auto" w:line="276" w:before="240" w:after="120"/>
        <w:rPr/>
      </w:pPr>
      <w:r>
        <w:rPr>
          <w:rFonts w:eastAsia="Times New Roman" w:cs="Times New Roman"/>
          <w:b/>
          <w:bCs/>
          <w:sz w:val="24"/>
          <w:szCs w:val="24"/>
        </w:rPr>
        <w:t>2.4  Hypothesis Development</w:t>
      </w:r>
    </w:p>
    <w:p>
      <w:pPr>
        <w:pStyle w:val="Normal"/>
        <w:spacing w:lineRule="auto" w:line="276" w:before="0" w:after="60"/>
        <w:jc w:val="both"/>
        <w:rPr/>
      </w:pPr>
      <w:r>
        <w:rPr>
          <w:rFonts w:eastAsia="Times New Roman" w:cs="Times New Roman"/>
          <w:sz w:val="24"/>
          <w:szCs w:val="24"/>
        </w:rPr>
        <w:t>Drawing on the three strands of literature above, I formulate three testable hypotheses:</w:t>
      </w:r>
    </w:p>
    <w:p>
      <w:pPr>
        <w:pStyle w:val="Normal"/>
        <w:spacing w:lineRule="auto" w:line="276" w:before="0" w:after="60"/>
        <w:jc w:val="both"/>
        <w:rPr/>
      </w:pPr>
      <w:r>
        <w:rPr>
          <w:rFonts w:eastAsia="Times New Roman" w:cs="Times New Roman"/>
          <w:b/>
          <w:bCs/>
          <w:sz w:val="24"/>
          <w:szCs w:val="24"/>
        </w:rPr>
        <w:t xml:space="preserve">H1: </w:t>
      </w:r>
      <w:r>
        <w:rPr>
          <w:rFonts w:eastAsia="Times New Roman" w:cs="Times New Roman"/>
          <w:sz w:val="24"/>
          <w:szCs w:val="24"/>
        </w:rPr>
        <w:t>Daily changes in the VIX are negatively associated with next-day returns in all four CEE equity indices, consistent with the documented transmission of US investor sentiment to international markets (Baker, Wurgler, and Yuan 2012; Hamao, Masulis, and Ng 1990).</w:t>
      </w:r>
    </w:p>
    <w:p>
      <w:pPr>
        <w:pStyle w:val="Normal"/>
        <w:spacing w:lineRule="auto" w:line="276" w:before="0" w:after="60"/>
        <w:jc w:val="both"/>
        <w:rPr/>
      </w:pPr>
      <w:r>
        <w:rPr>
          <w:rFonts w:eastAsia="Times New Roman" w:cs="Times New Roman"/>
          <w:b/>
          <w:bCs/>
          <w:sz w:val="24"/>
          <w:szCs w:val="24"/>
        </w:rPr>
        <w:t xml:space="preserve">H2: </w:t>
      </w:r>
      <w:r>
        <w:rPr>
          <w:rFonts w:eastAsia="Times New Roman" w:cs="Times New Roman"/>
          <w:sz w:val="24"/>
          <w:szCs w:val="24"/>
        </w:rPr>
        <w:t>The predictive relationship is stronger for markets with greater global integration (notably the ATX, given the Vienna Stock Exchange's Western European linkages) than for more regionally isolated markets (PX, BUX).</w:t>
      </w:r>
    </w:p>
    <w:p>
      <w:pPr>
        <w:pStyle w:val="Normal"/>
        <w:spacing w:lineRule="auto" w:line="276" w:before="0" w:after="60"/>
        <w:jc w:val="both"/>
        <w:rPr/>
      </w:pPr>
      <w:r>
        <w:rPr>
          <w:rFonts w:eastAsia="Times New Roman" w:cs="Times New Roman"/>
          <w:b/>
          <w:bCs/>
          <w:sz w:val="24"/>
          <w:szCs w:val="24"/>
        </w:rPr>
        <w:t xml:space="preserve">H3: </w:t>
      </w:r>
      <w:r>
        <w:rPr>
          <w:rFonts w:eastAsia="Times New Roman" w:cs="Times New Roman"/>
          <w:sz w:val="24"/>
          <w:szCs w:val="24"/>
        </w:rPr>
        <w:t>The predictive relationship is stronger during high-volatility regimes than during calm regimes, consistent with the contagion-amplification hypothesis of Forbes and Rigobon (2002) and Bekaert et al. (2014).</w:t>
      </w:r>
    </w:p>
    <w:p>
      <w:pPr>
        <w:pStyle w:val="Normal"/>
        <w:spacing w:lineRule="auto" w:line="276" w:before="0" w:after="60"/>
        <w:jc w:val="both"/>
        <w:rPr/>
      </w:pPr>
      <w:r>
        <w:rPr>
          <w:rFonts w:eastAsia="Times New Roman" w:cs="Times New Roman"/>
          <w:sz w:val="24"/>
          <w:szCs w:val="24"/>
        </w:rPr>
        <w:t>Section 4 tests each of these hypotheses directly. The empirical results support H1 and substantially strengthen it under GARCH standardization. H2 receives only partial support, with the most globally integrated market (the ATX) exhibiting weaker rather than stronger next-day predictability, a finding interpreted in terms of faster intraday price adjustment. H3 is rejected; the data reveal the opposite pattern, in which predictability is stronger during calm regimes than during crisis regimes.</w:t>
      </w:r>
    </w:p>
    <w:p>
      <w:pPr>
        <w:pStyle w:val="Heading1"/>
        <w:spacing w:lineRule="auto" w:line="276" w:before="360" w:after="200"/>
        <w:rPr/>
      </w:pPr>
      <w:r>
        <w:rPr>
          <w:rFonts w:eastAsia="Times New Roman" w:cs="Times New Roman"/>
          <w:b/>
          <w:bCs/>
          <w:sz w:val="28"/>
          <w:szCs w:val="28"/>
        </w:rPr>
        <w:t>3  Methodology</w:t>
      </w:r>
    </w:p>
    <w:p>
      <w:pPr>
        <w:pStyle w:val="Heading2"/>
        <w:spacing w:lineRule="auto" w:line="276" w:before="240" w:after="120"/>
        <w:rPr/>
      </w:pPr>
      <w:r>
        <w:rPr>
          <w:rFonts w:eastAsia="Times New Roman" w:cs="Times New Roman"/>
          <w:b/>
          <w:bCs/>
          <w:sz w:val="24"/>
          <w:szCs w:val="24"/>
        </w:rPr>
        <w:t>3.1  Data</w:t>
      </w:r>
    </w:p>
    <w:p>
      <w:pPr>
        <w:pStyle w:val="Normal"/>
        <w:spacing w:lineRule="auto" w:line="276" w:before="0" w:after="60"/>
        <w:jc w:val="both"/>
        <w:rPr/>
      </w:pPr>
      <w:r>
        <w:rPr>
          <w:rFonts w:eastAsia="Times New Roman" w:cs="Times New Roman"/>
          <w:sz w:val="24"/>
          <w:szCs w:val="24"/>
        </w:rPr>
        <w:t>The analysis uses daily closing prices for four CEE equity indices and the CBOE Volatility Index, with chosen time range of 2</w:t>
      </w:r>
      <w:r>
        <w:rPr>
          <w:rFonts w:eastAsia="Times New Roman" w:cs="Times New Roman"/>
          <w:sz w:val="24"/>
          <w:szCs w:val="24"/>
          <w:vertAlign w:val="superscript"/>
        </w:rPr>
        <w:t>nd</w:t>
      </w:r>
      <w:r>
        <w:rPr>
          <w:rFonts w:eastAsia="Times New Roman" w:cs="Times New Roman"/>
          <w:sz w:val="24"/>
          <w:szCs w:val="24"/>
        </w:rPr>
        <w:t xml:space="preserve">  January, 2018 to 30</w:t>
      </w:r>
      <w:r>
        <w:rPr>
          <w:rFonts w:eastAsia="Times New Roman" w:cs="Times New Roman"/>
          <w:sz w:val="24"/>
          <w:szCs w:val="24"/>
          <w:vertAlign w:val="superscript"/>
        </w:rPr>
        <w:t>th</w:t>
      </w:r>
      <w:r>
        <w:rPr>
          <w:rFonts w:eastAsia="Times New Roman" w:cs="Times New Roman"/>
          <w:sz w:val="24"/>
          <w:szCs w:val="24"/>
        </w:rPr>
        <w:t xml:space="preserve">  December, 2024. The equity indices included are the WIG20 (Warsaw Stock Exchange), the BUX (Budapest Stock Exchange), the PX (Prague Stock Exchange), and the ATX (Wiener Börse), each a capitalization-weighted ticker of its national market. The VIX is obtained from CBOE via Yahoo Finance. The WIG20, BUX, and PX series come from Stooq, the ATX series comes directly from the Wiener Börse historical archive.</w:t>
      </w:r>
    </w:p>
    <w:p>
      <w:pPr>
        <w:pStyle w:val="Normal"/>
        <w:spacing w:lineRule="auto" w:line="276" w:before="0" w:after="60"/>
        <w:jc w:val="both"/>
        <w:rPr/>
      </w:pPr>
      <w:r>
        <w:rPr>
          <w:rFonts w:eastAsia="Times New Roman" w:cs="Times New Roman"/>
          <w:sz w:val="24"/>
          <w:szCs w:val="24"/>
        </w:rPr>
        <w:t>The sample period was selected to include a balanced mix of market regimes: the stages of the post-2008 expansion, the COVID-19 crash of March 2020 and its respective recovery period, the European energy crisis of 2022, and the following normalization. This seven-year span provides optimal sample size for rolling-window estimation while including multiple high-volatility episodes that allow for a meaningful regime analysis.</w:t>
      </w:r>
    </w:p>
    <w:p>
      <w:pPr>
        <w:pStyle w:val="Normal"/>
        <w:spacing w:lineRule="auto" w:line="276" w:before="0" w:after="60"/>
        <w:jc w:val="both"/>
        <w:rPr/>
      </w:pPr>
      <w:r>
        <w:rPr>
          <w:rFonts w:eastAsia="Times New Roman" w:cs="Times New Roman"/>
          <w:sz w:val="24"/>
          <w:szCs w:val="24"/>
        </w:rPr>
        <w:t>Because the four CEE markets observe different national holidays, the raw price series contain non-overlapping non-trading days. To ensure a consistent set of dates across all variables, the five series are inner-joined on the set of common trading days. This procedure eliminated 123 nationally specific non-trading dates from the initial 1,760 sessions, merging into a balanced panel of 1,637 common trading days spanning from 3</w:t>
      </w:r>
      <w:r>
        <w:rPr>
          <w:rFonts w:eastAsia="Times New Roman" w:cs="Times New Roman"/>
          <w:sz w:val="24"/>
          <w:szCs w:val="24"/>
          <w:vertAlign w:val="superscript"/>
        </w:rPr>
        <w:t>rd</w:t>
      </w:r>
      <w:r>
        <w:rPr>
          <w:rFonts w:eastAsia="Times New Roman" w:cs="Times New Roman"/>
          <w:sz w:val="24"/>
          <w:szCs w:val="24"/>
        </w:rPr>
        <w:t xml:space="preserve">  January 2018 to 30</w:t>
      </w:r>
      <w:r>
        <w:rPr>
          <w:rFonts w:eastAsia="Times New Roman" w:cs="Times New Roman"/>
          <w:sz w:val="24"/>
          <w:szCs w:val="24"/>
          <w:vertAlign w:val="superscript"/>
        </w:rPr>
        <w:t>th</w:t>
      </w:r>
      <w:r>
        <w:rPr>
          <w:rFonts w:eastAsia="Times New Roman" w:cs="Times New Roman"/>
          <w:sz w:val="24"/>
          <w:szCs w:val="24"/>
        </w:rPr>
        <w:t xml:space="preserve">  December 2024.</w:t>
      </w:r>
    </w:p>
    <w:p>
      <w:pPr>
        <w:pStyle w:val="Heading2"/>
        <w:spacing w:lineRule="auto" w:line="276" w:before="240" w:after="120"/>
        <w:rPr/>
      </w:pPr>
      <w:r>
        <w:rPr>
          <w:rFonts w:eastAsia="Times New Roman" w:cs="Times New Roman"/>
          <w:b/>
          <w:bCs/>
          <w:sz w:val="24"/>
          <w:szCs w:val="24"/>
        </w:rPr>
        <w:t>3.2  Variable Construction</w:t>
      </w:r>
    </w:p>
    <w:p>
      <w:pPr>
        <w:pStyle w:val="Normal"/>
        <w:spacing w:lineRule="auto" w:line="276" w:before="0" w:after="60"/>
        <w:jc w:val="both"/>
        <w:rPr/>
      </w:pPr>
      <w:r>
        <w:rPr>
          <w:rFonts w:eastAsia="Times New Roman" w:cs="Times New Roman"/>
          <w:sz w:val="24"/>
          <w:szCs w:val="24"/>
        </w:rPr>
        <w:t>For each CEE index, daily continuously compounded returns are computed as</w:t>
      </w:r>
    </w:p>
    <w:p>
      <w:pPr>
        <w:pStyle w:val="Normal"/>
        <w:spacing w:lineRule="auto" w:line="276" w:before="120" w:after="120"/>
        <w:jc w:val="center"/>
        <w:rPr/>
      </w:pPr>
      <w:r>
        <w:rPr>
          <w:rFonts w:eastAsia="Times New Roman" w:cs="Times New Roman"/>
          <w:i/>
          <w:iCs/>
          <w:sz w:val="24"/>
          <w:szCs w:val="24"/>
        </w:rPr>
        <w:t>rᵢ,ₜ = ln(Pᵢ,ₜ) − ln(Pᵢ,ₜ₋₁)</w:t>
      </w:r>
    </w:p>
    <w:p>
      <w:pPr>
        <w:pStyle w:val="Normal"/>
        <w:spacing w:lineRule="auto" w:line="276" w:before="0" w:after="60"/>
        <w:jc w:val="both"/>
        <w:rPr/>
      </w:pPr>
      <w:r>
        <w:rPr>
          <w:rFonts w:eastAsia="Times New Roman" w:cs="Times New Roman"/>
          <w:sz w:val="24"/>
          <w:szCs w:val="24"/>
        </w:rPr>
        <w:t>where Pᵢ,ₜ is the closing price of index i on date t. Log returns are preferable to arithmetic returns for two reasons: they are additive over time, and they tend to be closer to symmetric than simple returns.</w:t>
      </w:r>
    </w:p>
    <w:p>
      <w:pPr>
        <w:pStyle w:val="Normal"/>
        <w:spacing w:lineRule="auto" w:line="276" w:before="0" w:after="60"/>
        <w:jc w:val="both"/>
        <w:rPr/>
      </w:pPr>
      <w:r>
        <w:rPr>
          <w:rFonts w:eastAsia="Times New Roman" w:cs="Times New Roman"/>
          <w:sz w:val="24"/>
          <w:szCs w:val="24"/>
        </w:rPr>
        <w:t>The VIX is not a price but a volatility index quoted in annualized standard-deviation percentage points. Therefore, it is optimal to use the VIX in two forms: the contemporaneous VIX level, VIXₜ, which captures the current state of US implied volatility, and the daily VIX change, ΔVIXₜ = VIXₜ - VIXₜ-₁, which captures the daily innovation in fear. The VIX level is highly persistent but tends to become mean-reverting over long horizons, VIX changes are nearly serially uncorrelated, so each daily change behaves like a fresh news shock.</w:t>
      </w:r>
    </w:p>
    <w:p>
      <w:pPr>
        <w:pStyle w:val="Heading2"/>
        <w:spacing w:lineRule="auto" w:line="276" w:before="240" w:after="120"/>
        <w:rPr/>
      </w:pPr>
      <w:r>
        <w:rPr>
          <w:rFonts w:eastAsia="Times New Roman" w:cs="Times New Roman"/>
          <w:b/>
          <w:bCs/>
          <w:sz w:val="24"/>
          <w:szCs w:val="24"/>
        </w:rPr>
        <w:t>3.3  Baseline Predictive Regression</w:t>
      </w:r>
    </w:p>
    <w:p>
      <w:pPr>
        <w:pStyle w:val="Normal"/>
        <w:spacing w:lineRule="auto" w:line="276" w:before="0" w:after="60"/>
        <w:jc w:val="both"/>
        <w:rPr/>
      </w:pPr>
      <w:r>
        <w:rPr>
          <w:rFonts w:eastAsia="Times New Roman" w:cs="Times New Roman"/>
          <w:sz w:val="24"/>
          <w:szCs w:val="24"/>
        </w:rPr>
        <w:t>The baseline specification estimates, for each CEE market i, the relationship between today's VIX information and tomorrow's CEE return:</w:t>
      </w:r>
    </w:p>
    <w:p>
      <w:pPr>
        <w:pStyle w:val="Normal"/>
        <w:spacing w:lineRule="auto" w:line="276" w:before="120" w:after="120"/>
        <w:jc w:val="center"/>
        <w:rPr/>
      </w:pPr>
      <w:r>
        <w:rPr>
          <w:rFonts w:eastAsia="Times New Roman" w:cs="Times New Roman"/>
          <w:i/>
          <w:iCs/>
          <w:sz w:val="24"/>
          <w:szCs w:val="24"/>
        </w:rPr>
        <w:t>rᵢ,ₜ₊₁ = αᵢ + β₁,ᵢ·VIXₜ + β₂,ᵢ·ΔVIXₜ + εᵢ,ₜ₊₁</w:t>
      </w:r>
    </w:p>
    <w:p>
      <w:pPr>
        <w:pStyle w:val="Normal"/>
        <w:spacing w:lineRule="auto" w:line="276" w:before="0" w:after="60"/>
        <w:jc w:val="both"/>
        <w:rPr/>
      </w:pPr>
      <w:r>
        <w:rPr>
          <w:rFonts w:eastAsia="Times New Roman" w:cs="Times New Roman"/>
          <w:sz w:val="24"/>
          <w:szCs w:val="24"/>
        </w:rPr>
        <w:t>A statistically significant negative estimate of β₂,ᵢ would produce evidence in support of H1: that contemporaneous increases in US implied volatility negatively predict next-day CEE equity returns.</w:t>
      </w:r>
    </w:p>
    <w:p>
      <w:pPr>
        <w:pStyle w:val="Normal"/>
        <w:spacing w:lineRule="auto" w:line="276" w:before="0" w:after="60"/>
        <w:jc w:val="both"/>
        <w:rPr/>
      </w:pPr>
      <w:r>
        <w:rPr>
          <w:rFonts w:eastAsia="Times New Roman" w:cs="Times New Roman"/>
          <w:sz w:val="24"/>
          <w:szCs w:val="24"/>
        </w:rPr>
        <w:t>Daily equity returns are heteroskedastic (volatility clustering) and exhibit modest serial correlation in squared residuals. Standard OLS standard errors are therefore prone to bias in finite samples. Both issues are addressed through Newey and West (1987) heteroskedasticity-and-autocorrelation-consistent (HAC) standard errors at a lag of five trading days. The HAC adjustment accounts for autocorrelation up to that lag while remaining valid under heteroskedasticity of unknown form.</w:t>
      </w:r>
    </w:p>
    <w:p>
      <w:pPr>
        <w:pStyle w:val="Normal"/>
        <w:spacing w:lineRule="auto" w:line="276" w:before="0" w:after="60"/>
        <w:jc w:val="both"/>
        <w:rPr/>
      </w:pPr>
      <w:r>
        <w:rPr>
          <w:rFonts w:eastAsia="Times New Roman" w:cs="Times New Roman"/>
          <w:sz w:val="24"/>
          <w:szCs w:val="24"/>
        </w:rPr>
        <w:t>Stationarity of all series, a foundational requirement for confirming the validity of OLS inference, is verified via the Augmented Dickey-Fuller (ADF) test with lag length selected by the Akaike Information Criterion. Results appear in Section 4.1.</w:t>
      </w:r>
    </w:p>
    <w:p>
      <w:pPr>
        <w:pStyle w:val="Heading2"/>
        <w:spacing w:lineRule="auto" w:line="276" w:before="240" w:after="120"/>
        <w:rPr/>
      </w:pPr>
      <w:r>
        <w:rPr>
          <w:rFonts w:eastAsia="Times New Roman" w:cs="Times New Roman"/>
          <w:b/>
          <w:bCs/>
          <w:sz w:val="24"/>
          <w:szCs w:val="24"/>
        </w:rPr>
        <w:t>3.4  Rolling-Window Estimation</w:t>
      </w:r>
    </w:p>
    <w:p>
      <w:pPr>
        <w:pStyle w:val="Normal"/>
        <w:spacing w:lineRule="auto" w:line="276" w:before="0" w:after="60"/>
        <w:jc w:val="both"/>
        <w:rPr/>
      </w:pPr>
      <w:r>
        <w:rPr>
          <w:rFonts w:eastAsia="Times New Roman" w:cs="Times New Roman"/>
          <w:sz w:val="24"/>
          <w:szCs w:val="24"/>
        </w:rPr>
        <w:t>To check stability over time, the baseline in rolling 252-trading-day windows (one trading year) was re-estimated. At each date t from window 252 onward, estimation of the baseline was performed using observations from t−252 to t−1, again with Newey-West HAC standard errors. This yields 1,384 rolling-window estimates β₂,ᵢ,ₜ per market.</w:t>
      </w:r>
    </w:p>
    <w:p>
      <w:pPr>
        <w:pStyle w:val="Heading2"/>
        <w:spacing w:lineRule="auto" w:line="276" w:before="240" w:after="120"/>
        <w:rPr/>
      </w:pPr>
      <w:r>
        <w:rPr>
          <w:rFonts w:eastAsia="Times New Roman" w:cs="Times New Roman"/>
          <w:b/>
          <w:bCs/>
          <w:sz w:val="24"/>
          <w:szCs w:val="24"/>
        </w:rPr>
        <w:t>3.5  Regime Analysis</w:t>
      </w:r>
    </w:p>
    <w:p>
      <w:pPr>
        <w:pStyle w:val="Normal"/>
        <w:spacing w:lineRule="auto" w:line="276" w:before="0" w:after="60"/>
        <w:jc w:val="both"/>
        <w:rPr/>
      </w:pPr>
      <w:r>
        <w:rPr>
          <w:rFonts w:eastAsia="Times New Roman" w:cs="Times New Roman"/>
          <w:sz w:val="24"/>
          <w:szCs w:val="24"/>
        </w:rPr>
        <w:t>To test whether predictability differs between calm and crisis regimes (hypothesis H3),  estimation of an interaction specification was performed:</w:t>
      </w:r>
    </w:p>
    <w:p>
      <w:pPr>
        <w:pStyle w:val="Normal"/>
        <w:spacing w:lineRule="auto" w:line="276" w:before="120" w:after="120"/>
        <w:jc w:val="center"/>
        <w:rPr/>
      </w:pPr>
      <w:r>
        <w:rPr>
          <w:rFonts w:eastAsia="Times New Roman" w:cs="Times New Roman"/>
          <w:i/>
          <w:iCs/>
          <w:sz w:val="24"/>
          <w:szCs w:val="24"/>
        </w:rPr>
        <w:t>rᵢ,ₜ₊₁ = α + β₁·VIXₜ + β₂·ΔVIXₜ + γ·Dₜ + δ·(ΔVIXₜ × Dₜ) + εᵢ,ₜ₊₁</w:t>
      </w:r>
    </w:p>
    <w:p>
      <w:pPr>
        <w:pStyle w:val="Normal"/>
        <w:spacing w:lineRule="auto" w:line="276" w:before="0" w:after="60"/>
        <w:jc w:val="both"/>
        <w:rPr/>
      </w:pPr>
      <w:r>
        <w:rPr>
          <w:rFonts w:eastAsia="Times New Roman" w:cs="Times New Roman"/>
          <w:sz w:val="24"/>
          <w:szCs w:val="24"/>
        </w:rPr>
        <w:t>where Dₜ denotes a regime dummy variable equal to 1 if VIXₜ exceeds a chosen threshold and 0 otherwise. The coefficient δ tests hypothesis H3 directly: a negative δ would indicate that predictability strengthens during crises; a positive δ that it weakens. Two thresholds are employed for robustness: VIX &gt; 25 (consistent with the conventional crisis definition, yielding 304 crisis days, 18.6 percent of the sample) and the sample median of 18.12 (a balanced split).</w:t>
      </w:r>
    </w:p>
    <w:p>
      <w:pPr>
        <w:pStyle w:val="Heading2"/>
        <w:spacing w:lineRule="auto" w:line="276" w:before="240" w:after="120"/>
        <w:rPr/>
      </w:pPr>
      <w:r>
        <w:rPr>
          <w:rFonts w:eastAsia="Times New Roman" w:cs="Times New Roman"/>
          <w:b/>
          <w:bCs/>
          <w:sz w:val="24"/>
          <w:szCs w:val="24"/>
        </w:rPr>
        <w:t>3.6  GARCH Volatility Standardization</w:t>
      </w:r>
    </w:p>
    <w:p>
      <w:pPr>
        <w:pStyle w:val="Normal"/>
        <w:spacing w:lineRule="auto" w:line="276" w:before="0" w:after="60"/>
        <w:jc w:val="both"/>
        <w:rPr/>
      </w:pPr>
      <w:r>
        <w:rPr>
          <w:rFonts w:eastAsia="Times New Roman" w:cs="Times New Roman"/>
          <w:sz w:val="24"/>
          <w:szCs w:val="24"/>
        </w:rPr>
        <w:t>As a robustness extension, a GARCH(1,1) model (Bollerslev 1986) was implemented to each CEE return series:</w:t>
      </w:r>
    </w:p>
    <w:p>
      <w:pPr>
        <w:pStyle w:val="Normal"/>
        <w:spacing w:lineRule="auto" w:line="276" w:before="120" w:after="120"/>
        <w:jc w:val="center"/>
        <w:rPr/>
      </w:pPr>
      <w:r>
        <w:rPr>
          <w:rFonts w:eastAsia="Times New Roman" w:cs="Times New Roman"/>
          <w:i/>
          <w:iCs/>
          <w:sz w:val="24"/>
          <w:szCs w:val="24"/>
        </w:rPr>
        <w:t>σ²ᵢ,ₜ = ω + α·ε²ᵢ,ₜ₋₁ + β·σ²ᵢ,ₜ₋₁</w:t>
      </w:r>
    </w:p>
    <w:p>
      <w:pPr>
        <w:pStyle w:val="Normal"/>
        <w:spacing w:lineRule="auto" w:line="276" w:before="0" w:after="60"/>
        <w:jc w:val="both"/>
        <w:rPr/>
      </w:pPr>
      <w:r>
        <w:rPr>
          <w:rFonts w:eastAsia="Times New Roman" w:cs="Times New Roman"/>
          <w:sz w:val="24"/>
          <w:szCs w:val="24"/>
        </w:rPr>
        <w:t>This follows by construction of standardized returns by dividing each daily return by its one-step-ahead conditional standard deviation, r̃ᵢ,ₜ = rᵢ,ₜ / σᵢ,ₜ, and re-estimate the baseline predictive specification using these standardized series. If the predictive relationship is real and not an artifact of time-varying volatility, the coefficient estimates from the standardized regression should mirror those from the baseline.</w:t>
      </w:r>
    </w:p>
    <w:p>
      <w:pPr>
        <w:pStyle w:val="Heading2"/>
        <w:spacing w:lineRule="auto" w:line="276" w:before="240" w:after="120"/>
        <w:rPr/>
      </w:pPr>
      <w:r>
        <w:rPr>
          <w:rFonts w:eastAsia="Times New Roman" w:cs="Times New Roman"/>
          <w:b/>
          <w:bCs/>
          <w:sz w:val="24"/>
          <w:szCs w:val="24"/>
        </w:rPr>
        <w:t>3.7  Subperiod Analysis</w:t>
      </w:r>
    </w:p>
    <w:p>
      <w:pPr>
        <w:pStyle w:val="Normal"/>
        <w:spacing w:lineRule="auto" w:line="276" w:before="0" w:after="60"/>
        <w:jc w:val="both"/>
        <w:rPr/>
      </w:pPr>
      <w:r>
        <w:rPr>
          <w:rFonts w:eastAsia="Times New Roman" w:cs="Times New Roman"/>
          <w:sz w:val="24"/>
          <w:szCs w:val="24"/>
        </w:rPr>
        <w:t>To assess the stability of the predictive relationship across structurally distinct market regimes, the sample is split into a pre-COVID subperiod (4 January 2018 to 14 February 2020, comprising 488 observations) and a post-COVID subperiod (3 January 2022 to 30 December 2024, comprising 702 observations). The intervening period of 2020 and 2021, characterized by extreme volatility and structural disruption, is deliberately excluded from both subperiods. The baseline specification is re-estimated separately on each subperiod and the coefficient estimates and coefficients of determination are compared.</w:t>
      </w:r>
    </w:p>
    <w:p>
      <w:pPr>
        <w:pStyle w:val="Normal"/>
        <w:spacing w:lineRule="auto" w:line="276" w:before="0" w:after="60"/>
        <w:jc w:val="both"/>
        <w:rPr/>
      </w:pPr>
      <w:r>
        <w:rPr>
          <w:rFonts w:eastAsia="Times New Roman" w:cs="Times New Roman"/>
          <w:sz w:val="24"/>
          <w:szCs w:val="24"/>
        </w:rPr>
        <w:t>All estimation is performed via Python by using the statsmodels and arch libraries. The complete data pipeline, with notebooks for each stage of the analysis, is available in the accompanying replication archive.</w:t>
      </w:r>
    </w:p>
    <w:p>
      <w:pPr>
        <w:pStyle w:val="Heading1"/>
        <w:spacing w:lineRule="auto" w:line="276" w:before="360" w:after="200"/>
        <w:rPr/>
      </w:pPr>
      <w:r>
        <w:rPr>
          <w:rFonts w:eastAsia="Times New Roman" w:cs="Times New Roman"/>
          <w:b/>
          <w:bCs/>
          <w:sz w:val="28"/>
          <w:szCs w:val="28"/>
        </w:rPr>
        <w:t>4  Results and Discussion</w:t>
      </w:r>
    </w:p>
    <w:p>
      <w:pPr>
        <w:pStyle w:val="Heading2"/>
        <w:spacing w:lineRule="auto" w:line="276" w:before="240" w:after="120"/>
        <w:rPr/>
      </w:pPr>
      <w:r>
        <w:rPr>
          <w:rFonts w:eastAsia="Times New Roman" w:cs="Times New Roman"/>
          <w:b/>
          <w:bCs/>
          <w:sz w:val="24"/>
          <w:szCs w:val="24"/>
        </w:rPr>
        <w:t>4.1  Preliminary Analysis</w:t>
      </w:r>
    </w:p>
    <w:p>
      <w:pPr>
        <w:pStyle w:val="Normal"/>
        <w:spacing w:lineRule="auto" w:line="276" w:before="0" w:after="60"/>
        <w:jc w:val="both"/>
        <w:rPr/>
      </w:pPr>
      <w:r>
        <w:rPr>
          <w:rFonts w:eastAsia="Times New Roman" w:cs="Times New Roman"/>
          <w:sz w:val="24"/>
          <w:szCs w:val="24"/>
        </w:rPr>
        <w:t>Table 1 reports descriptive statistics. The VIX has a sample mean of 19.91, peaks at 82.69 during the March 2020 COVID-19 shock. The CEE return series demonstarte the standard features of equity returns: near-zero means, daily standard deviations between 0.98 and 1.51 percent, negative skewness, followed with a substantial excess kurtosis. The WIG20 is the most volatile series (σ = 1.51 percent), the PX the least (σ = 0.98 percent). The ATX registered the worst single-day loss in the sample at -14.71 percent, during the March 2020 crash.</w:t>
      </w:r>
    </w:p>
    <w:p>
      <w:pPr>
        <w:pStyle w:val="Normal"/>
        <w:spacing w:lineRule="auto" w:line="276"/>
        <w:rPr/>
      </w:pPr>
      <w:r>
        <w:rPr/>
      </w:r>
    </w:p>
    <w:tbl>
      <w:tblPr>
        <w:tblW w:w="9000" w:type="dxa"/>
        <w:jc w:val="center"/>
        <w:tblInd w:w="0" w:type="dxa"/>
        <w:tblLayout w:type="fixed"/>
        <w:tblCellMar>
          <w:top w:w="60" w:type="dxa"/>
          <w:start w:w="100" w:type="dxa"/>
          <w:bottom w:w="60" w:type="dxa"/>
          <w:end w:w="100" w:type="dxa"/>
        </w:tblCellMar>
      </w:tblPr>
      <w:tblGrid>
        <w:gridCol w:w="1298"/>
        <w:gridCol w:w="1102"/>
        <w:gridCol w:w="1100"/>
        <w:gridCol w:w="1099"/>
        <w:gridCol w:w="1099"/>
        <w:gridCol w:w="1102"/>
        <w:gridCol w:w="1100"/>
        <w:gridCol w:w="1100"/>
      </w:tblGrid>
      <w:tr>
        <w:trPr>
          <w:tblHeader w:val="true"/>
        </w:trPr>
        <w:tc>
          <w:tcPr>
            <w:tcW w:w="12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Series</w:t>
            </w:r>
          </w:p>
        </w:tc>
        <w:tc>
          <w:tcPr>
            <w:tcW w:w="11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Mean</w:t>
            </w:r>
          </w:p>
        </w:tc>
        <w:tc>
          <w:tcPr>
            <w:tcW w:w="11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Median</w:t>
            </w:r>
          </w:p>
        </w:tc>
        <w:tc>
          <w:tcPr>
            <w:tcW w:w="10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Std Dev</w:t>
            </w:r>
          </w:p>
        </w:tc>
        <w:tc>
          <w:tcPr>
            <w:tcW w:w="10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Min</w:t>
            </w:r>
          </w:p>
        </w:tc>
        <w:tc>
          <w:tcPr>
            <w:tcW w:w="11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Max</w:t>
            </w:r>
          </w:p>
        </w:tc>
        <w:tc>
          <w:tcPr>
            <w:tcW w:w="11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Skew</w:t>
            </w:r>
          </w:p>
        </w:tc>
        <w:tc>
          <w:tcPr>
            <w:tcW w:w="11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Kurt</w:t>
            </w:r>
          </w:p>
        </w:tc>
      </w:tr>
      <w:tr>
        <w:trPr/>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19.910</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18.120</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7.789</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9.220</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82.690</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2.676</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12.742</w:t>
            </w:r>
          </w:p>
        </w:tc>
      </w:tr>
      <w:tr>
        <w:trPr/>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-0.007</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-0.017</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1.508</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-14.246</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8.099</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-0.707</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8.347</w:t>
            </w:r>
          </w:p>
        </w:tc>
      </w:tr>
      <w:tr>
        <w:trPr/>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0.042</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0.099</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1.337</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-12.268</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6.003</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-1.382</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12.386</w:t>
            </w:r>
          </w:p>
        </w:tc>
      </w:tr>
      <w:tr>
        <w:trPr/>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0.029</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0.067</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0.980</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-8.160</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7.369</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-1.040</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11.891</w:t>
            </w:r>
          </w:p>
        </w:tc>
      </w:tr>
      <w:tr>
        <w:trPr/>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0.003</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0.072</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1.416</w:t>
            </w:r>
          </w:p>
        </w:tc>
        <w:tc>
          <w:tcPr>
            <w:tcW w:w="10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-14.712</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10.226</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-1.162</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15.360</w:t>
            </w:r>
          </w:p>
        </w:tc>
      </w:tr>
    </w:tbl>
    <w:p>
      <w:pPr>
        <w:pStyle w:val="Normal"/>
        <w:spacing w:lineRule="auto" w:line="240" w:before="60" w:after="240"/>
        <w:jc w:val="center"/>
        <w:rPr/>
      </w:pPr>
      <w:r>
        <w:rPr>
          <w:rFonts w:eastAsia="Times New Roman" w:cs="Times New Roman"/>
          <w:i/>
          <w:iCs/>
          <w:sz w:val="20"/>
          <w:szCs w:val="20"/>
        </w:rPr>
        <w:t>Table 1. Descriptive statistics for VIX (in index points) and CEE log returns (in percent per day). Sample: 1,636 trading days from January 2018 to December 2024.</w:t>
      </w:r>
    </w:p>
    <w:p>
      <w:pPr>
        <w:pStyle w:val="Normal"/>
        <w:spacing w:lineRule="auto" w:line="276" w:before="0" w:after="60"/>
        <w:jc w:val="both"/>
        <w:rPr/>
      </w:pPr>
      <w:r>
        <w:rPr>
          <w:rFonts w:eastAsia="Times New Roman" w:cs="Times New Roman"/>
          <w:sz w:val="24"/>
          <w:szCs w:val="24"/>
        </w:rPr>
        <w:t>Table 2 reports Augmented Dickey-Fuller stationarity test results for all variables utilized in the regression analysis. All six series reject the null hypothesis of a unit root at the 1 percent significance level. The VIX in levels is stationary, consistent with its documented mean-reverting behavior around a long-run average level of approximately 19. The CEE log return series are stationary by construction. The VIX change series is strongly stationary, confirmed by the large negative value of the ADF statistic. The standard OLS regression assumptions concerning stationarity are, therefore, satisfied.</w:t>
      </w:r>
    </w:p>
    <w:p>
      <w:pPr>
        <w:pStyle w:val="Normal"/>
        <w:spacing w:lineRule="auto" w:line="276"/>
        <w:rPr/>
      </w:pPr>
      <w:r>
        <w:rPr/>
      </w:r>
    </w:p>
    <w:tbl>
      <w:tblPr>
        <w:tblW w:w="9100" w:type="dxa"/>
        <w:jc w:val="center"/>
        <w:tblInd w:w="0" w:type="dxa"/>
        <w:tblLayout w:type="fixed"/>
        <w:tblCellMar>
          <w:top w:w="60" w:type="dxa"/>
          <w:start w:w="100" w:type="dxa"/>
          <w:bottom w:w="60" w:type="dxa"/>
          <w:end w:w="100" w:type="dxa"/>
        </w:tblCellMar>
      </w:tblPr>
      <w:tblGrid>
        <w:gridCol w:w="2200"/>
        <w:gridCol w:w="1399"/>
        <w:gridCol w:w="1401"/>
        <w:gridCol w:w="1299"/>
        <w:gridCol w:w="1499"/>
        <w:gridCol w:w="1302"/>
      </w:tblGrid>
      <w:tr>
        <w:trPr>
          <w:tblHeader w:val="true"/>
        </w:trPr>
        <w:tc>
          <w:tcPr>
            <w:tcW w:w="22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Series</w:t>
            </w:r>
          </w:p>
        </w:tc>
        <w:tc>
          <w:tcPr>
            <w:tcW w:w="13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ADF Stat</w:t>
            </w:r>
          </w:p>
        </w:tc>
        <w:tc>
          <w:tcPr>
            <w:tcW w:w="14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p-value</w:t>
            </w:r>
          </w:p>
        </w:tc>
        <w:tc>
          <w:tcPr>
            <w:tcW w:w="12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Lags</w:t>
            </w:r>
          </w:p>
        </w:tc>
        <w:tc>
          <w:tcPr>
            <w:tcW w:w="14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Critical 1%</w:t>
            </w:r>
          </w:p>
        </w:tc>
        <w:tc>
          <w:tcPr>
            <w:tcW w:w="13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Stationary</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 (level)</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-4.6530</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0.0001</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9</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 (change)</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-14.0581</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8</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 (returns)</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-9.5094</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20</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 (returns)</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-10.9659</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11</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 (returns)</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-10.6907</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11</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r>
        <w:trPr/>
        <w:tc>
          <w:tcPr>
            <w:tcW w:w="22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 (returns)</w:t>
            </w:r>
          </w:p>
        </w:tc>
        <w:tc>
          <w:tcPr>
            <w:tcW w:w="13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-12.4043</w:t>
            </w:r>
          </w:p>
        </w:tc>
        <w:tc>
          <w:tcPr>
            <w:tcW w:w="14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w:t>
            </w:r>
          </w:p>
        </w:tc>
        <w:tc>
          <w:tcPr>
            <w:tcW w:w="12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9</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-3.434</w:t>
            </w:r>
          </w:p>
        </w:tc>
        <w:tc>
          <w:tcPr>
            <w:tcW w:w="13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Yes</w:t>
            </w:r>
          </w:p>
        </w:tc>
      </w:tr>
    </w:tbl>
    <w:p>
      <w:pPr>
        <w:pStyle w:val="Normal"/>
        <w:spacing w:lineRule="auto" w:line="240" w:before="60" w:after="240"/>
        <w:jc w:val="center"/>
        <w:rPr/>
      </w:pPr>
      <w:r>
        <w:rPr>
          <w:rFonts w:eastAsia="Times New Roman" w:cs="Times New Roman"/>
          <w:i/>
          <w:iCs/>
          <w:sz w:val="20"/>
          <w:szCs w:val="20"/>
        </w:rPr>
        <w:t>Table 2. Augmented Dickey-Fuller stationarity tests. The null hypothesis of a unit root is rejected at the 1% level for all six series.</w:t>
      </w:r>
    </w:p>
    <w:p>
      <w:pPr>
        <w:pStyle w:val="Normal"/>
        <w:spacing w:lineRule="auto" w:line="276" w:before="0" w:after="60"/>
        <w:jc w:val="both"/>
        <w:rPr/>
      </w:pPr>
      <w:r>
        <w:rPr>
          <w:rFonts w:eastAsia="Times New Roman" w:cs="Times New Roman"/>
          <w:sz w:val="24"/>
          <w:szCs w:val="24"/>
        </w:rPr>
        <w:t>Table 3 reports the contemporaneous correlation matrix between the VIX change and the four CEE return series. The VIX change is negatively correlated with all four CEE return series, with correlations ranging from -0.343 (PX) to -0.449 (ATX). The negative sign confirms that rising fear coincides with falling equity prices, and the magnitudes are economically substantial. The four CEE markets are highly correlated with one another, with paired correlations ranging from 0.504 to 0.705, reflecting their common exposure to European-wide risk factors.</w:t>
      </w:r>
    </w:p>
    <w:p>
      <w:pPr>
        <w:pStyle w:val="Normal"/>
        <w:spacing w:lineRule="auto" w:line="276"/>
        <w:rPr/>
      </w:pPr>
      <w:r>
        <w:rPr/>
      </w:r>
    </w:p>
    <w:tbl>
      <w:tblPr>
        <w:tblW w:w="9000" w:type="dxa"/>
        <w:jc w:val="center"/>
        <w:tblInd w:w="0" w:type="dxa"/>
        <w:tblLayout w:type="fixed"/>
        <w:tblCellMar>
          <w:top w:w="60" w:type="dxa"/>
          <w:start w:w="100" w:type="dxa"/>
          <w:bottom w:w="60" w:type="dxa"/>
          <w:end w:w="100" w:type="dxa"/>
        </w:tblCellMar>
      </w:tblPr>
      <w:tblGrid>
        <w:gridCol w:w="1500"/>
        <w:gridCol w:w="1499"/>
        <w:gridCol w:w="1501"/>
        <w:gridCol w:w="1500"/>
        <w:gridCol w:w="1499"/>
        <w:gridCol w:w="1501"/>
      </w:tblGrid>
      <w:tr>
        <w:trPr>
          <w:tblHeader w:val="true"/>
        </w:trPr>
        <w:tc>
          <w:tcPr>
            <w:tcW w:w="15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
          </w:p>
        </w:tc>
        <w:tc>
          <w:tcPr>
            <w:tcW w:w="14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VIX_change</w:t>
            </w:r>
          </w:p>
        </w:tc>
        <w:tc>
          <w:tcPr>
            <w:tcW w:w="15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WIG20</w:t>
            </w:r>
          </w:p>
        </w:tc>
        <w:tc>
          <w:tcPr>
            <w:tcW w:w="15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BUX</w:t>
            </w:r>
          </w:p>
        </w:tc>
        <w:tc>
          <w:tcPr>
            <w:tcW w:w="14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PX</w:t>
            </w:r>
          </w:p>
        </w:tc>
        <w:tc>
          <w:tcPr>
            <w:tcW w:w="15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ATX</w:t>
            </w:r>
          </w:p>
        </w:tc>
      </w:tr>
      <w:tr>
        <w:trPr/>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VIX_change</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1.000</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-0.354</w:t>
            </w:r>
          </w:p>
        </w:tc>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-0.346</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-0.343</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-0.449</w:t>
            </w:r>
          </w:p>
        </w:tc>
      </w:tr>
      <w:tr>
        <w:trPr/>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-0.354</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1.000</w:t>
            </w:r>
          </w:p>
        </w:tc>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0.550</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0.504</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0.613</w:t>
            </w:r>
          </w:p>
        </w:tc>
      </w:tr>
      <w:tr>
        <w:trPr/>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-0.346</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0.550</w:t>
            </w:r>
          </w:p>
        </w:tc>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1.000</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0.551</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0.589</w:t>
            </w:r>
          </w:p>
        </w:tc>
      </w:tr>
      <w:tr>
        <w:trPr/>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-0.343</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0.504</w:t>
            </w:r>
          </w:p>
        </w:tc>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0.551</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1.000</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0.705</w:t>
            </w:r>
          </w:p>
        </w:tc>
      </w:tr>
      <w:tr>
        <w:trPr/>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-0.449</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0.613</w:t>
            </w:r>
          </w:p>
        </w:tc>
        <w:tc>
          <w:tcPr>
            <w:tcW w:w="15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0.589</w:t>
            </w:r>
          </w:p>
        </w:tc>
        <w:tc>
          <w:tcPr>
            <w:tcW w:w="14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0.705</w:t>
            </w:r>
          </w:p>
        </w:tc>
        <w:tc>
          <w:tcPr>
            <w:tcW w:w="15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1.000</w:t>
            </w:r>
          </w:p>
        </w:tc>
      </w:tr>
    </w:tbl>
    <w:p>
      <w:pPr>
        <w:pStyle w:val="Normal"/>
        <w:spacing w:lineRule="auto" w:line="240" w:before="60" w:after="240"/>
        <w:jc w:val="center"/>
        <w:rPr/>
      </w:pPr>
      <w:r>
        <w:rPr>
          <w:rFonts w:eastAsia="Times New Roman" w:cs="Times New Roman"/>
          <w:i/>
          <w:iCs/>
          <w:sz w:val="20"/>
          <w:szCs w:val="20"/>
        </w:rPr>
        <w:t>Table 3. Contemporaneous correlation matrix among VIX change and CEE log returns, 2018 to 2024.</w:t>
      </w:r>
    </w:p>
    <w:p>
      <w:pPr>
        <w:pStyle w:val="Heading2"/>
        <w:spacing w:lineRule="auto" w:line="276" w:before="240" w:after="120"/>
        <w:rPr/>
      </w:pPr>
      <w:r>
        <w:rPr>
          <w:rFonts w:eastAsia="Times New Roman" w:cs="Times New Roman"/>
          <w:b/>
          <w:bCs/>
          <w:sz w:val="24"/>
          <w:szCs w:val="24"/>
        </w:rPr>
        <w:t>4.2  Baseline Predictive Regression Results</w:t>
      </w:r>
    </w:p>
    <w:p>
      <w:pPr>
        <w:pStyle w:val="Normal"/>
        <w:spacing w:lineRule="auto" w:line="276" w:before="0" w:after="60"/>
        <w:jc w:val="both"/>
        <w:rPr/>
      </w:pPr>
      <w:r>
        <w:rPr>
          <w:rFonts w:eastAsia="Times New Roman" w:cs="Times New Roman"/>
          <w:sz w:val="24"/>
          <w:szCs w:val="24"/>
        </w:rPr>
        <w:t>Table 4 reports the baseline OLS predictive regressions of next-day CEE returns on the contemporaneous VIX level and VIX change, with Newey-West HAC standard errors at five lags.</w:t>
      </w:r>
    </w:p>
    <w:p>
      <w:pPr>
        <w:pStyle w:val="Normal"/>
        <w:spacing w:lineRule="auto" w:line="276"/>
        <w:rPr/>
      </w:pPr>
      <w:r>
        <w:rPr/>
      </w:r>
    </w:p>
    <w:tbl>
      <w:tblPr>
        <w:tblW w:w="8600" w:type="dxa"/>
        <w:jc w:val="center"/>
        <w:tblInd w:w="0" w:type="dxa"/>
        <w:tblLayout w:type="fixed"/>
        <w:tblCellMar>
          <w:top w:w="60" w:type="dxa"/>
          <w:start w:w="100" w:type="dxa"/>
          <w:bottom w:w="60" w:type="dxa"/>
          <w:end w:w="100" w:type="dxa"/>
        </w:tblCellMar>
      </w:tblPr>
      <w:tblGrid>
        <w:gridCol w:w="2199"/>
        <w:gridCol w:w="1601"/>
        <w:gridCol w:w="1599"/>
        <w:gridCol w:w="1601"/>
        <w:gridCol w:w="1600"/>
      </w:tblGrid>
      <w:tr>
        <w:trPr>
          <w:tblHeader w:val="true"/>
        </w:trPr>
        <w:tc>
          <w:tcPr>
            <w:tcW w:w="21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
          </w:p>
        </w:tc>
        <w:tc>
          <w:tcPr>
            <w:tcW w:w="16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WIG20</w:t>
            </w:r>
          </w:p>
        </w:tc>
        <w:tc>
          <w:tcPr>
            <w:tcW w:w="1599"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BUX</w:t>
            </w:r>
          </w:p>
        </w:tc>
        <w:tc>
          <w:tcPr>
            <w:tcW w:w="16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PX</w:t>
            </w:r>
          </w:p>
        </w:tc>
        <w:tc>
          <w:tcPr>
            <w:tcW w:w="16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ATX</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Constant</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-0.00047</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0.00168</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0.00156</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0.00086</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(0.00148)</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(0.00160)</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(0.00178)</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(0.00253)</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 level</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0.00002</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-0.00006</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-0.00006</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-0.00004</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(0.00008)</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(0.00009)</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(0.00010)</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(0.00014)</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VIX change</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-0.00080</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-0.00076*</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-0.00065**</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-0.00079*</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(0.00050)</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(0.00042)</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(0.00033)</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(0.00041)</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N</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r>
      <w:tr>
        <w:trPr/>
        <w:tc>
          <w:tcPr>
            <w:tcW w:w="21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R²</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0.0127</w:t>
            </w:r>
          </w:p>
        </w:tc>
        <w:tc>
          <w:tcPr>
            <w:tcW w:w="1599"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0.0176</w:t>
            </w:r>
          </w:p>
        </w:tc>
        <w:tc>
          <w:tcPr>
            <w:tcW w:w="16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0.0250</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0.0155</w:t>
            </w:r>
          </w:p>
        </w:tc>
      </w:tr>
    </w:tbl>
    <w:p>
      <w:pPr>
        <w:pStyle w:val="Normal"/>
        <w:spacing w:lineRule="auto" w:line="240" w:before="60" w:after="240"/>
        <w:jc w:val="center"/>
        <w:rPr/>
      </w:pPr>
      <w:r>
        <w:rPr>
          <w:rFonts w:eastAsia="Times New Roman" w:cs="Times New Roman"/>
          <w:i/>
          <w:iCs/>
          <w:sz w:val="20"/>
          <w:szCs w:val="20"/>
        </w:rPr>
        <w:t>Table 4. Baseline OLS predictive regressions. Dependent variable: next-day log return. Standard errors in parentheses. *, **, *** denote significance at 10%, 5%, 1%. Newey-West HAC standard errors with 5 lags.</w:t>
      </w:r>
    </w:p>
    <w:p>
      <w:pPr>
        <w:pStyle w:val="Normal"/>
        <w:spacing w:lineRule="auto" w:line="276" w:before="0" w:after="60"/>
        <w:jc w:val="both"/>
        <w:rPr/>
      </w:pPr>
      <w:r>
        <w:rPr>
          <w:rFonts w:eastAsia="Times New Roman" w:cs="Times New Roman"/>
          <w:sz w:val="24"/>
          <w:szCs w:val="24"/>
        </w:rPr>
        <w:t>Three findings stand out in the baseline regressions, each with certain implications for the interpretation of the predictive relationship. First, the coefficient on the VIX level is statistically indistinguishable from zero in all four markets, with p-values ranging from 0.43 to 0.62. The ambient level of implied volatility (in isolation) does not carry any statistically significant predictive content for next-day returns. Predictive information is concentrated in the daily change, consistent with a news-shock interpretation in which market participants respond to the VIX innovation, not to the level at which it currently stands.</w:t>
      </w:r>
    </w:p>
    <w:p>
      <w:pPr>
        <w:pStyle w:val="Normal"/>
        <w:spacing w:lineRule="auto" w:line="276" w:before="0" w:after="60"/>
        <w:jc w:val="both"/>
        <w:rPr/>
      </w:pPr>
      <w:r>
        <w:rPr>
          <w:rFonts w:eastAsia="Times New Roman" w:cs="Times New Roman"/>
          <w:sz w:val="24"/>
          <w:szCs w:val="24"/>
        </w:rPr>
        <w:t>Second, the coefficient on the VIX change is negative in all four markets, with point estimates clustered around -0.0008. The implied effect of a one-point VIX rise is a 0.08 percent next-day return decline on average, negligible in tranquil conditions but non-trivial during stress episodes when VIX moves of 10 to 15 points are common. Significance is mixed: 5 percent for the PX (p = 0.04), 10 percent for the BUX and ATX (p = 0.07 and 0.06), and marginal for the WIG20 (p = 0.11).</w:t>
      </w:r>
    </w:p>
    <w:p>
      <w:pPr>
        <w:pStyle w:val="Normal"/>
        <w:spacing w:lineRule="auto" w:line="276" w:before="0" w:after="60"/>
        <w:jc w:val="both"/>
        <w:rPr/>
      </w:pPr>
      <w:r>
        <w:rPr>
          <w:rFonts w:eastAsia="Times New Roman" w:cs="Times New Roman"/>
          <w:sz w:val="24"/>
          <w:szCs w:val="24"/>
        </w:rPr>
        <w:t>Third, the coefficients of determination are modest (1.27 to 2.50 percent) but correlating with the broader return-predictability literature (Welch and Goyal 2008). A 2 percent R² for daily returns is substantively meaningful, since it implies a non-trivial fraction of return variance that compounds over time. Predictability is strongest for the PX (R² = 2.50 percent) and weakest for the WIG20 (R² = 1.27 percent). The cross-sectional pattern is broadly consistent with H2, except that the ATX does not exhibit the predicted prominence, a finding examined further in the regime and subperiod analyses below.</w:t>
      </w:r>
    </w:p>
    <w:p>
      <w:pPr>
        <w:pStyle w:val="Normal"/>
        <w:spacing w:before="120" w:after="60"/>
        <w:jc w:val="center"/>
        <w:rPr/>
      </w:pPr>
      <w:r>
        <w:rPr/>
        <w:drawing>
          <wp:inline distT="0" distB="0" distL="0" distR="0">
            <wp:extent cx="5334000" cy="1714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1714500"/>
                    </a:xfrm>
                    <a:prstGeom prst="rect">
                      <a:avLst/>
                    </a:prstGeom>
                    <a:noFill/>
                  </pic:spPr>
                </pic:pic>
              </a:graphicData>
            </a:graphic>
          </wp:inline>
        </w:drawing>
      </w:r>
    </w:p>
    <w:p>
      <w:pPr>
        <w:pStyle w:val="Normal"/>
        <w:spacing w:lineRule="auto" w:line="240" w:before="60" w:after="240"/>
        <w:jc w:val="center"/>
        <w:rPr/>
      </w:pPr>
      <w:r>
        <w:rPr>
          <w:rFonts w:eastAsia="Times New Roman" w:cs="Times New Roman"/>
          <w:i/>
          <w:iCs/>
          <w:sz w:val="20"/>
          <w:szCs w:val="20"/>
        </w:rPr>
        <w:t>Figure 1. Left panel: VIX_change coefficients from the baseline regression with Newey-West 95% confidence intervals. Right panel: VIX_change coefficient by fear regime (calm vs crisis, VIX &gt; 25 threshold), with 95% confidence intervals. The calm-regime coefficient is consistently 2 to 3 times larger in magnitude than the crisis-regime coefficient across all four markets.</w:t>
      </w:r>
    </w:p>
    <w:p>
      <w:pPr>
        <w:pStyle w:val="Heading2"/>
        <w:spacing w:lineRule="auto" w:line="276" w:before="240" w:after="120"/>
        <w:rPr/>
      </w:pPr>
      <w:r>
        <w:rPr>
          <w:rFonts w:eastAsia="Times New Roman" w:cs="Times New Roman"/>
          <w:b/>
          <w:bCs/>
          <w:sz w:val="24"/>
          <w:szCs w:val="24"/>
        </w:rPr>
        <w:t>4.3  Rolling-Window Analysis</w:t>
      </w:r>
    </w:p>
    <w:p>
      <w:pPr>
        <w:pStyle w:val="Normal"/>
        <w:spacing w:lineRule="auto" w:line="276" w:before="0" w:after="60"/>
        <w:jc w:val="both"/>
        <w:rPr/>
      </w:pPr>
      <w:r>
        <w:rPr>
          <w:rFonts w:eastAsia="Times New Roman" w:cs="Times New Roman"/>
          <w:sz w:val="24"/>
          <w:szCs w:val="24"/>
        </w:rPr>
        <w:t>The most notable feature of the rolling-window estimates is the directional consistency of the predictive coefficient. Across all four markets, the VIX_change coefficient proved to be negative in between 97.3 percent of windows (for the WIG20) and 99.3 percent of windows (for the ATX), out of the full set of 1,384 rolling 252-day estimations analyzed. The directional character of the predictive relationship is essentially invariant across the seven-year sample. The magnitude, by contrast, fluctuates and tracks the chronology of macroeconomic and geopolitical shocks.</w:t>
      </w:r>
    </w:p>
    <w:p>
      <w:pPr>
        <w:pStyle w:val="Normal"/>
        <w:spacing w:before="120" w:after="60"/>
        <w:jc w:val="center"/>
        <w:rPr/>
      </w:pPr>
      <w:r>
        <w:rPr/>
        <w:drawing>
          <wp:inline distT="0" distB="0" distL="0" distR="0">
            <wp:extent cx="5334000" cy="2286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86000"/>
                    </a:xfrm>
                    <a:prstGeom prst="rect">
                      <a:avLst/>
                    </a:prstGeom>
                    <a:noFill/>
                  </pic:spPr>
                </pic:pic>
              </a:graphicData>
            </a:graphic>
          </wp:inline>
        </w:drawing>
      </w:r>
    </w:p>
    <w:p>
      <w:pPr>
        <w:pStyle w:val="Normal"/>
        <w:spacing w:lineRule="auto" w:line="240" w:before="60" w:after="240"/>
        <w:jc w:val="center"/>
        <w:rPr/>
      </w:pPr>
      <w:r>
        <w:rPr>
          <w:rFonts w:eastAsia="Times New Roman" w:cs="Times New Roman"/>
          <w:i/>
          <w:iCs/>
          <w:sz w:val="20"/>
          <w:szCs w:val="20"/>
        </w:rPr>
        <w:t>Figure 2. Rolling 252-day VIX_change coefficient for each of the four markets. Shaded regions mark the COVID-19 crash (red) and the Russia-Ukraine shock (orange). The coefficient deepens during both crisis episodes, particularly for the geographically proximate WIG20 and BUX during Russia-Ukraine.</w:t>
      </w:r>
    </w:p>
    <w:p>
      <w:pPr>
        <w:pStyle w:val="Normal"/>
        <w:spacing w:lineRule="auto" w:line="276" w:before="0" w:after="60"/>
        <w:jc w:val="both"/>
        <w:rPr/>
      </w:pPr>
      <w:r>
        <w:rPr>
          <w:rFonts w:eastAsia="Times New Roman" w:cs="Times New Roman"/>
          <w:sz w:val="24"/>
          <w:szCs w:val="24"/>
        </w:rPr>
        <w:t>Figure 3 displays the evolution of the rolling coefficient over the sample. During the pre-pandemic period (2019 to early 2020), all four coefficients are positioned between -0.0010 and -0.0015. In early 2020 the coefficients deepen sharply as the COVID-19 shock enters each rolling window, reaching local minima of approximately -0.0025. They subsequently normalize through 2021. A second deepening occurs in early 2022 with the Russia-Ukraine shock, particularly pronounced for the geographically proximate WIG20 and BUX. The coefficients, in time, normalize through 2023 and 2024, ending the sample close to the long-run average.</w:t>
      </w:r>
    </w:p>
    <w:p>
      <w:pPr>
        <w:pStyle w:val="Heading2"/>
        <w:spacing w:lineRule="auto" w:line="276" w:before="240" w:after="120"/>
        <w:rPr/>
      </w:pPr>
      <w:r>
        <w:rPr>
          <w:rFonts w:eastAsia="Times New Roman" w:cs="Times New Roman"/>
          <w:b/>
          <w:bCs/>
          <w:sz w:val="24"/>
          <w:szCs w:val="24"/>
        </w:rPr>
        <w:t>4.4  Regime Analysis</w:t>
      </w:r>
    </w:p>
    <w:p>
      <w:pPr>
        <w:pStyle w:val="Normal"/>
        <w:spacing w:lineRule="auto" w:line="276" w:before="0" w:after="60"/>
        <w:jc w:val="both"/>
        <w:rPr/>
      </w:pPr>
      <w:r>
        <w:rPr>
          <w:rFonts w:eastAsia="Times New Roman" w:cs="Times New Roman"/>
          <w:sz w:val="24"/>
          <w:szCs w:val="24"/>
        </w:rPr>
        <w:t>The rolling-window evidence is suggestive: crisis episodes appear to deepen the coefficient rather than shallow it. To test this formally, equation (3) is estimated, augmenting the baseline with a dummy indicator and its interaction with the VIX change, where the dummy equals one during elevated-volatility periods defined by VIX &gt; 25.</w:t>
      </w:r>
    </w:p>
    <w:p>
      <w:pPr>
        <w:pStyle w:val="Normal"/>
        <w:spacing w:lineRule="auto" w:line="276"/>
        <w:rPr/>
      </w:pPr>
      <w:r>
        <w:rPr/>
      </w:r>
    </w:p>
    <w:tbl>
      <w:tblPr>
        <w:tblW w:w="9100" w:type="dxa"/>
        <w:jc w:val="center"/>
        <w:tblInd w:w="0" w:type="dxa"/>
        <w:tblLayout w:type="fixed"/>
        <w:tblCellMar>
          <w:top w:w="60" w:type="dxa"/>
          <w:start w:w="100" w:type="dxa"/>
          <w:bottom w:w="60" w:type="dxa"/>
          <w:end w:w="100" w:type="dxa"/>
        </w:tblCellMar>
      </w:tblPr>
      <w:tblGrid>
        <w:gridCol w:w="1398"/>
        <w:gridCol w:w="1702"/>
        <w:gridCol w:w="1700"/>
        <w:gridCol w:w="1700"/>
        <w:gridCol w:w="1398"/>
        <w:gridCol w:w="1202"/>
      </w:tblGrid>
      <w:tr>
        <w:trPr>
          <w:tblHeader w:val="true"/>
        </w:trPr>
        <w:tc>
          <w:tcPr>
            <w:tcW w:w="13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Market</w:t>
            </w:r>
          </w:p>
        </w:tc>
        <w:tc>
          <w:tcPr>
            <w:tcW w:w="17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Calm β₂</w:t>
            </w:r>
          </w:p>
        </w:tc>
        <w:tc>
          <w:tcPr>
            <w:tcW w:w="17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Interaction δ</w:t>
            </w:r>
          </w:p>
        </w:tc>
        <w:tc>
          <w:tcPr>
            <w:tcW w:w="17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Crisis (β₂+δ)</w:t>
            </w:r>
          </w:p>
        </w:tc>
        <w:tc>
          <w:tcPr>
            <w:tcW w:w="13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R²</w:t>
            </w:r>
          </w:p>
        </w:tc>
        <w:tc>
          <w:tcPr>
            <w:tcW w:w="12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N</w:t>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w:t>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-0.00155***</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+0.00110</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-0.00045</w:t>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0.0191</w:t>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(0.00027)</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(0.00069)</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w:t>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-0.00121***</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+0.00065</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-0.00056</w:t>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0.0203</w:t>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(0.00022)</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(0.00058)</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w:t>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-0.00105***</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+0.00058</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-0.00047</w:t>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0.0289</w:t>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(0.00018)</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(0.00045)</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w:t>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-0.00134***</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+0.00082</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-0.00053</w:t>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0.0197</w:t>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1635</w:t>
            </w:r>
          </w:p>
        </w:tc>
      </w:tr>
      <w:tr>
        <w:trPr/>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(0.00024)</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(0.00056)</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3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2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bl>
    <w:p>
      <w:pPr>
        <w:pStyle w:val="Normal"/>
        <w:spacing w:lineRule="auto" w:line="240" w:before="60" w:after="240"/>
        <w:jc w:val="center"/>
        <w:rPr/>
      </w:pPr>
      <w:r>
        <w:rPr>
          <w:rFonts w:eastAsia="Times New Roman" w:cs="Times New Roman"/>
          <w:i/>
          <w:iCs/>
          <w:sz w:val="20"/>
          <w:szCs w:val="20"/>
        </w:rPr>
        <w:t>Table 6. Regime analysis with crisis threshold VIX &gt; 25. The interaction coefficient δ is positive in all four markets, indicating that next-day predictability is weaker (not stronger) during crisis regimes.</w:t>
      </w:r>
    </w:p>
    <w:p>
      <w:pPr>
        <w:pStyle w:val="Normal"/>
        <w:spacing w:lineRule="auto" w:line="276" w:before="0" w:after="60"/>
        <w:jc w:val="both"/>
        <w:rPr/>
      </w:pPr>
      <w:r>
        <w:rPr>
          <w:rFonts w:eastAsia="Times New Roman" w:cs="Times New Roman"/>
          <w:sz w:val="24"/>
          <w:szCs w:val="24"/>
        </w:rPr>
        <w:t>The empirical results contradict the intuition stated in hypothesis H3. In all four markets, the baseline coefficient β₂ is strongly negative and statistically significant at the 1 percent level, with magnitudes ranging from -0.00105 (PX) to -0.00155 (WIG20). The interaction coefficient δ is positive in all four markets, with magnitudes between +0.00058 and +0.00110. The total predictive coefficient under crisis conditions (β₂ + δ) is approximately one-third the magnitude of its calm-regime counterpart. Rather than amplifying the VIX signal, high-volatility episodes attenuate it by a factor of two to three.</w:t>
      </w:r>
    </w:p>
    <w:p>
      <w:pPr>
        <w:pStyle w:val="Normal"/>
        <w:spacing w:lineRule="auto" w:line="276" w:before="0" w:after="60"/>
        <w:jc w:val="both"/>
        <w:rPr/>
      </w:pPr>
      <w:r>
        <w:rPr>
          <w:rFonts w:eastAsia="Times New Roman" w:cs="Times New Roman"/>
          <w:sz w:val="24"/>
          <w:szCs w:val="24"/>
        </w:rPr>
        <w:t>This result runs contrary to the contagion-amplification hypothesis advanced by Forbes and Rigobon (2002) and Bekaert et al. (2014). Three non-mutually-exclusive mechanisms may account for the observed pattern.</w:t>
      </w:r>
    </w:p>
    <w:p>
      <w:pPr>
        <w:pStyle w:val="Normal"/>
        <w:spacing w:lineRule="auto" w:line="276" w:before="0" w:after="60"/>
        <w:jc w:val="both"/>
        <w:rPr/>
      </w:pPr>
      <w:r>
        <w:rPr>
          <w:rFonts w:eastAsia="Times New Roman" w:cs="Times New Roman"/>
          <w:sz w:val="24"/>
          <w:szCs w:val="24"/>
        </w:rPr>
        <w:t>First, signal-to-noise deterioration. During high-volatility regimes, the cross-sectional variance of daily returns expands substantially and is driven by a combination of concurrent information sources: central bank communications, geopolitical developments, and macroeconomic data releases. The previous-day VIX innovation, though still informative in expectation, is overwhelmed by this concurrent information flow. Statistically, the underlying predictive relationship becomes harder to identify because the residual variance against which the signal is measured has expanded.</w:t>
      </w:r>
    </w:p>
    <w:p>
      <w:pPr>
        <w:pStyle w:val="Normal"/>
        <w:spacing w:lineRule="auto" w:line="276" w:before="0" w:after="60"/>
        <w:jc w:val="both"/>
        <w:rPr/>
      </w:pPr>
      <w:r>
        <w:rPr>
          <w:rFonts w:eastAsia="Times New Roman" w:cs="Times New Roman"/>
          <w:sz w:val="24"/>
          <w:szCs w:val="24"/>
        </w:rPr>
        <w:t>Second, faster within-day price adjustment. During periods of acute stress, market participants process cross-border volatility signals with greater urgency, partially absorbing the informational content of the prior US session into opening prices rather than allowing it to persist into the next-day close. This interpretation is consistent with the result for the ATX: as the most globally integrated of the four indices and the one trading in a market with substantial overlap with US session hours, the ATX may exhibit weaker next-day predictability precisely because much of the adjustment has already occurred contemporaneously.</w:t>
      </w:r>
    </w:p>
    <w:p>
      <w:pPr>
        <w:pStyle w:val="Normal"/>
        <w:spacing w:lineRule="auto" w:line="276" w:before="0" w:after="60"/>
        <w:jc w:val="both"/>
        <w:rPr/>
      </w:pPr>
      <w:r>
        <w:rPr>
          <w:rFonts w:eastAsia="Times New Roman" w:cs="Times New Roman"/>
          <w:sz w:val="24"/>
          <w:szCs w:val="24"/>
        </w:rPr>
        <w:t>Third, mean reversion in extreme VIX observations. Large positive VIX shocks are frequently followed by partial reversal as the initial fear subsides. To the extent that today's VIX spike is partially reversed tomorrow, the predictive linear relationship between today's VIX change and tomorrow's CEE return is mechanically weakened.</w:t>
      </w:r>
    </w:p>
    <w:p>
      <w:pPr>
        <w:pStyle w:val="Heading2"/>
        <w:spacing w:lineRule="auto" w:line="276" w:before="240" w:after="120"/>
        <w:rPr/>
      </w:pPr>
      <w:r>
        <w:rPr>
          <w:rFonts w:eastAsia="Times New Roman" w:cs="Times New Roman"/>
          <w:b/>
          <w:bCs/>
          <w:sz w:val="24"/>
          <w:szCs w:val="24"/>
        </w:rPr>
        <w:t>4.5  GARCH(1,1) Volatility Standardization</w:t>
      </w:r>
    </w:p>
    <w:p>
      <w:pPr>
        <w:pStyle w:val="Normal"/>
        <w:spacing w:lineRule="auto" w:line="276" w:before="0" w:after="60"/>
        <w:jc w:val="both"/>
        <w:rPr/>
      </w:pPr>
      <w:r>
        <w:rPr>
          <w:rFonts w:eastAsia="Times New Roman" w:cs="Times New Roman"/>
          <w:sz w:val="24"/>
          <w:szCs w:val="24"/>
        </w:rPr>
        <w:t>A standard objection to OLS-based return predictability is that daily equity returns are conditionally heteroskedastic. While Newey-West HAC standard errors produce consistent inference in the presence of heteroskedasticity, they leave the residuals (and hence the dependent variable) unstandardized. As a robustness check, a GARCH(1,1) model (Bollerslev 1986) is therefore fitted to each CEE return series, and the baseline regression is re-estimated using returns standardized by their conditional volatility.</w:t>
      </w:r>
    </w:p>
    <w:p>
      <w:pPr>
        <w:pStyle w:val="Normal"/>
        <w:spacing w:lineRule="auto" w:line="276" w:before="0" w:after="60"/>
        <w:jc w:val="both"/>
        <w:rPr/>
      </w:pPr>
      <w:r>
        <w:rPr>
          <w:rFonts w:eastAsia="Times New Roman" w:cs="Times New Roman"/>
          <w:sz w:val="24"/>
          <w:szCs w:val="24"/>
        </w:rPr>
        <w:t>The estimated GARCH parameters are well-behaved across all four markets, with persistence (α + β) values between 0.95 and 0.96, consistent with the standard finding for daily equity returns. The conditional volatility series exhibits clear spikes during the March 2020 COVID-19 crash (with conditional volatility peaks of approximately 5.3 percent for the WIG20 and 7.1 percent for the ATX) and a secondary cluster during the Russia-Ukraine shock in early 2022.</w:t>
      </w:r>
    </w:p>
    <w:p>
      <w:pPr>
        <w:pStyle w:val="Normal"/>
        <w:spacing w:before="120" w:after="60"/>
        <w:jc w:val="center"/>
        <w:rPr/>
      </w:pPr>
      <w:r>
        <w:rPr/>
        <w:drawing>
          <wp:inline distT="0" distB="0" distL="0" distR="0">
            <wp:extent cx="5334000" cy="1619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1619250"/>
                    </a:xfrm>
                    <a:prstGeom prst="rect">
                      <a:avLst/>
                    </a:prstGeom>
                    <a:noFill/>
                  </pic:spPr>
                </pic:pic>
              </a:graphicData>
            </a:graphic>
          </wp:inline>
        </w:drawing>
      </w:r>
    </w:p>
    <w:p>
      <w:pPr>
        <w:pStyle w:val="Normal"/>
        <w:spacing w:lineRule="auto" w:line="240" w:before="60" w:after="240"/>
        <w:jc w:val="center"/>
        <w:rPr/>
      </w:pPr>
      <w:r>
        <w:rPr>
          <w:rFonts w:eastAsia="Times New Roman" w:cs="Times New Roman"/>
          <w:i/>
          <w:iCs/>
          <w:sz w:val="20"/>
          <w:szCs w:val="20"/>
        </w:rPr>
        <w:t>Figure 3. Left panel: Conditional volatility series from GARCH(1,1) for each CEE market. Right panel: VIX_change coefficient by subperiod with 95% confidence intervals. Pre-COVID coefficients are deepest in all four markets, post-COVID intermediate, and full-sample shallowest as the chaotic 2020 to 2021 transition dilutes the signal.</w:t>
      </w:r>
    </w:p>
    <w:p>
      <w:pPr>
        <w:pStyle w:val="Normal"/>
        <w:spacing w:lineRule="auto" w:line="276" w:before="0" w:after="60"/>
        <w:jc w:val="both"/>
        <w:rPr/>
      </w:pPr>
      <w:r>
        <w:rPr>
          <w:rFonts w:eastAsia="Times New Roman" w:cs="Times New Roman"/>
          <w:sz w:val="24"/>
          <w:szCs w:val="24"/>
        </w:rPr>
        <w:t>Thus, it is optimal to construct standardized returns by dividing each daily return by its one-step-ahead conditional volatility and re-estimate the baseline regression.</w:t>
      </w:r>
    </w:p>
    <w:p>
      <w:pPr>
        <w:pStyle w:val="Normal"/>
        <w:spacing w:lineRule="auto" w:line="276"/>
        <w:rPr/>
      </w:pPr>
      <w:r>
        <w:rPr/>
      </w:r>
    </w:p>
    <w:tbl>
      <w:tblPr>
        <w:tblW w:w="7300" w:type="dxa"/>
        <w:jc w:val="center"/>
        <w:tblInd w:w="0" w:type="dxa"/>
        <w:tblLayout w:type="fixed"/>
        <w:tblCellMar>
          <w:top w:w="60" w:type="dxa"/>
          <w:start w:w="100" w:type="dxa"/>
          <w:bottom w:w="60" w:type="dxa"/>
          <w:end w:w="100" w:type="dxa"/>
        </w:tblCellMar>
      </w:tblPr>
      <w:tblGrid>
        <w:gridCol w:w="1300"/>
        <w:gridCol w:w="1700"/>
        <w:gridCol w:w="1298"/>
        <w:gridCol w:w="1701"/>
        <w:gridCol w:w="1301"/>
      </w:tblGrid>
      <w:tr>
        <w:trPr>
          <w:tblHeader w:val="true"/>
        </w:trPr>
        <w:tc>
          <w:tcPr>
            <w:tcW w:w="13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Market</w:t>
            </w:r>
          </w:p>
        </w:tc>
        <w:tc>
          <w:tcPr>
            <w:tcW w:w="17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Baseline β₂</w:t>
            </w:r>
          </w:p>
        </w:tc>
        <w:tc>
          <w:tcPr>
            <w:tcW w:w="12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Baseline R²</w:t>
            </w:r>
          </w:p>
        </w:tc>
        <w:tc>
          <w:tcPr>
            <w:tcW w:w="17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GARCH-std β₂</w:t>
            </w:r>
          </w:p>
        </w:tc>
        <w:tc>
          <w:tcPr>
            <w:tcW w:w="1301"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GARCH R²</w:t>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-0.00080</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0.0127</w:t>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-0.06702***</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0.0207</w:t>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(0.00050)</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(0.02281)</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-0.00076*</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0.0176</w:t>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-0.06872***</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0.0239</w:t>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(0.00042)</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(0.02076)</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-0.00065**</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0.0250</w:t>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-0.07680***</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0.0300</w:t>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(0.00033)</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(0.02258)</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w:t>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-0.00079*</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0.0155</w:t>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-0.06897***</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0.0225</w:t>
            </w:r>
          </w:p>
        </w:tc>
      </w:tr>
      <w:tr>
        <w:trPr/>
        <w:tc>
          <w:tcPr>
            <w:tcW w:w="13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7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(0.00041)</w:t>
            </w:r>
          </w:p>
        </w:tc>
        <w:tc>
          <w:tcPr>
            <w:tcW w:w="12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7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(0.01921)</w:t>
            </w:r>
          </w:p>
        </w:tc>
        <w:tc>
          <w:tcPr>
            <w:tcW w:w="1301"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bl>
    <w:p>
      <w:pPr>
        <w:pStyle w:val="Normal"/>
        <w:spacing w:lineRule="auto" w:line="240" w:before="60" w:after="240"/>
        <w:jc w:val="center"/>
        <w:rPr/>
      </w:pPr>
      <w:r>
        <w:rPr>
          <w:rFonts w:eastAsia="Times New Roman" w:cs="Times New Roman"/>
          <w:i/>
          <w:iCs/>
          <w:sz w:val="20"/>
          <w:szCs w:val="20"/>
        </w:rPr>
        <w:t>Table 7. Baseline OLS versus GARCH(1,1)-standardized OLS. The standardized regression achieves 1% significance in all four markets. The coefficient magnitudes are scaled differently because the dependent variable is now in units of conditional standard deviation.</w:t>
      </w:r>
    </w:p>
    <w:p>
      <w:pPr>
        <w:pStyle w:val="Normal"/>
        <w:spacing w:lineRule="auto" w:line="276" w:before="0" w:after="60"/>
        <w:jc w:val="both"/>
        <w:rPr/>
      </w:pPr>
      <w:r>
        <w:rPr>
          <w:rFonts w:eastAsia="Times New Roman" w:cs="Times New Roman"/>
          <w:sz w:val="24"/>
          <w:szCs w:val="24"/>
        </w:rPr>
        <w:t>The empirical findings strengthen substantially following volatility standardization. The VIX_change coefficient is significant at the 1 percent level in all four markets, compared with significance at the 5 percent level for only one market and at the 10 percent level for two further markets in the baseline. Standardized coefficient magnitudes range from -0.0670 (WIG20) to -0.0768 (PX) per VIX point, and R² values range from 2.45 percent (ATX) to 5.65 percent (PX). Once the noise introduced by conditional heteroskedasticity is removed, the VIX-CEE predictive signal becomes uniformly strong across all four markets at the 1 percent level.</w:t>
      </w:r>
    </w:p>
    <w:p>
      <w:pPr>
        <w:pStyle w:val="Heading2"/>
        <w:spacing w:lineRule="auto" w:line="276" w:before="240" w:after="120"/>
        <w:rPr/>
      </w:pPr>
      <w:r>
        <w:rPr>
          <w:rFonts w:eastAsia="Times New Roman" w:cs="Times New Roman"/>
          <w:b/>
          <w:bCs/>
          <w:sz w:val="24"/>
          <w:szCs w:val="24"/>
        </w:rPr>
        <w:t>4.6  Subperiod Analysis</w:t>
      </w:r>
    </w:p>
    <w:p>
      <w:pPr>
        <w:pStyle w:val="Normal"/>
        <w:spacing w:lineRule="auto" w:line="276" w:before="0" w:after="60"/>
        <w:jc w:val="both"/>
        <w:rPr/>
      </w:pPr>
      <w:r>
        <w:rPr>
          <w:rFonts w:eastAsia="Times New Roman" w:cs="Times New Roman"/>
          <w:sz w:val="24"/>
          <w:szCs w:val="24"/>
        </w:rPr>
        <w:t>A second concern is whether the full-sample coefficient is structurally stable. The estimation window spans three qualitatively distinct episodes: a calm pre-pandemic period (2018 to early 2020), an episode of extreme and regime-shifting volatility (March 2020 through 2021), and a post-pandemic recovery (2022 to 2024). If the predictive relationship differs across these episodes, the full-sample point estimate conflates structurally heterogeneous effects and understates the strength of the relationship in stable regimes. The baseline specification is therefore re-estimated separately for the pre-COVID and post-COVID subperiods.</w:t>
      </w:r>
    </w:p>
    <w:p>
      <w:pPr>
        <w:pStyle w:val="Normal"/>
        <w:spacing w:lineRule="auto" w:line="276"/>
        <w:rPr/>
      </w:pPr>
      <w:r>
        <w:rPr/>
      </w:r>
    </w:p>
    <w:tbl>
      <w:tblPr>
        <w:tblW w:w="9300" w:type="dxa"/>
        <w:jc w:val="center"/>
        <w:tblInd w:w="0" w:type="dxa"/>
        <w:tblLayout w:type="fixed"/>
        <w:tblCellMar>
          <w:top w:w="60" w:type="dxa"/>
          <w:start w:w="100" w:type="dxa"/>
          <w:bottom w:w="60" w:type="dxa"/>
          <w:end w:w="100" w:type="dxa"/>
        </w:tblCellMar>
      </w:tblPr>
      <w:tblGrid>
        <w:gridCol w:w="1198"/>
        <w:gridCol w:w="1602"/>
        <w:gridCol w:w="1100"/>
        <w:gridCol w:w="1600"/>
        <w:gridCol w:w="1100"/>
        <w:gridCol w:w="1598"/>
        <w:gridCol w:w="1102"/>
      </w:tblGrid>
      <w:tr>
        <w:trPr>
          <w:tblHeader w:val="true"/>
        </w:trPr>
        <w:tc>
          <w:tcPr>
            <w:tcW w:w="11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Market</w:t>
            </w:r>
          </w:p>
        </w:tc>
        <w:tc>
          <w:tcPr>
            <w:tcW w:w="16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Pre β₂</w:t>
            </w:r>
          </w:p>
        </w:tc>
        <w:tc>
          <w:tcPr>
            <w:tcW w:w="11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Pre R²</w:t>
            </w:r>
          </w:p>
        </w:tc>
        <w:tc>
          <w:tcPr>
            <w:tcW w:w="16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Post β₂</w:t>
            </w:r>
          </w:p>
        </w:tc>
        <w:tc>
          <w:tcPr>
            <w:tcW w:w="1100"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Post R²</w:t>
            </w:r>
          </w:p>
        </w:tc>
        <w:tc>
          <w:tcPr>
            <w:tcW w:w="1598"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Full β₂</w:t>
            </w:r>
          </w:p>
        </w:tc>
        <w:tc>
          <w:tcPr>
            <w:tcW w:w="1102" w:type="dxa"/>
            <w:tcBorders>
              <w:top w:val="single" w:sz="6" w:space="0" w:color="888888"/>
              <w:start w:val="single" w:sz="6" w:space="0" w:color="888888"/>
              <w:bottom w:val="single" w:sz="6" w:space="0" w:color="888888"/>
              <w:end w:val="single" w:sz="6" w:space="0" w:color="888888"/>
            </w:tcBorders>
            <w:shd w:fill="F0F0F0" w:val="clear"/>
            <w:vAlign w:val="center"/>
          </w:tcPr>
          <w:p>
            <w:pPr>
              <w:pStyle w:val="Normal"/>
              <w:spacing w:lineRule="auto" w:line="240"/>
              <w:jc w:val="center"/>
              <w:rPr/>
            </w:pPr>
            <w:r>
              <w:rPr>
                <w:rFonts w:eastAsia="Times New Roman" w:cs="Times New Roman"/>
                <w:b/>
                <w:bCs/>
                <w:sz w:val="20"/>
                <w:szCs w:val="20"/>
              </w:rPr>
              <w:t>Full R²</w:t>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WIG20</w:t>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-0.00145***</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0.0506</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-0.00134***</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0.0206</w:t>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-0.00080</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0.0127</w:t>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(0.00030)</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(0.00040)</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(0.00050)</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BUX</w:t>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-0.00146***</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0.0627</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-0.00125***</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0.0255</w:t>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-0.00076*</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0.0176</w:t>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(0.00024)</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(0.00031)</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(0.00042)</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PX</w:t>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-0.00108***</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0.0944</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-0.00069***</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0.0202</w:t>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-0.00065**</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0.0250</w:t>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(0.00015)</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(0.00024)</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(0.00033)</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Fonts w:eastAsia="Times New Roman" w:cs="Times New Roman"/>
                <w:b/>
                <w:bCs/>
                <w:sz w:val="20"/>
                <w:szCs w:val="20"/>
              </w:rPr>
              <w:t>ATX</w:t>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-0.00146***</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0.0609</w:t>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-0.00101***</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0.0196</w:t>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-0.00079*</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0.0155</w:t>
            </w:r>
          </w:p>
        </w:tc>
      </w:tr>
      <w:tr>
        <w:trPr/>
        <w:tc>
          <w:tcPr>
            <w:tcW w:w="11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start"/>
              <w:rPr/>
            </w:pPr>
            <w:r>
              <w:rPr/>
            </w:r>
          </w:p>
        </w:tc>
        <w:tc>
          <w:tcPr>
            <w:tcW w:w="16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(0.00025)</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6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(0.00032)</w:t>
            </w:r>
          </w:p>
        </w:tc>
        <w:tc>
          <w:tcPr>
            <w:tcW w:w="1100"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c>
          <w:tcPr>
            <w:tcW w:w="1598"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Fonts w:eastAsia="Times New Roman" w:cs="Times New Roman"/>
                <w:b w:val="false"/>
                <w:bCs w:val="false"/>
                <w:sz w:val="20"/>
                <w:szCs w:val="20"/>
              </w:rPr>
              <w:t>(0.00041)</w:t>
            </w:r>
          </w:p>
        </w:tc>
        <w:tc>
          <w:tcPr>
            <w:tcW w:w="1102" w:type="dxa"/>
            <w:tcBorders>
              <w:top w:val="single" w:sz="6" w:space="0" w:color="888888"/>
              <w:start w:val="single" w:sz="6" w:space="0" w:color="888888"/>
              <w:bottom w:val="single" w:sz="6" w:space="0" w:color="888888"/>
              <w:end w:val="single" w:sz="6" w:space="0" w:color="888888"/>
            </w:tcBorders>
            <w:vAlign w:val="center"/>
          </w:tcPr>
          <w:p>
            <w:pPr>
              <w:pStyle w:val="Normal"/>
              <w:spacing w:lineRule="auto" w:line="240"/>
              <w:jc w:val="center"/>
              <w:rPr/>
            </w:pPr>
            <w:r>
              <w:rPr/>
            </w:r>
          </w:p>
        </w:tc>
      </w:tr>
    </w:tbl>
    <w:p>
      <w:pPr>
        <w:pStyle w:val="Normal"/>
        <w:spacing w:lineRule="auto" w:line="240" w:before="60" w:after="240"/>
        <w:jc w:val="center"/>
        <w:rPr/>
      </w:pPr>
      <w:r>
        <w:rPr>
          <w:rFonts w:eastAsia="Times New Roman" w:cs="Times New Roman"/>
          <w:i/>
          <w:iCs/>
          <w:sz w:val="20"/>
          <w:szCs w:val="20"/>
        </w:rPr>
        <w:t>Table 8. Subperiod analysis: pre-COVID (488 obs), post-COVID (702 obs), and full sample (1,635 obs). All twelve subperiod regressions achieve 1% significance, with pre-COVID predictability consistently strongest.</w:t>
      </w:r>
    </w:p>
    <w:p>
      <w:pPr>
        <w:pStyle w:val="Normal"/>
        <w:spacing w:lineRule="auto" w:line="276" w:before="0" w:after="60"/>
        <w:jc w:val="both"/>
        <w:rPr/>
      </w:pPr>
      <w:r>
        <w:rPr>
          <w:rFonts w:eastAsia="Times New Roman" w:cs="Times New Roman"/>
          <w:sz w:val="24"/>
          <w:szCs w:val="24"/>
        </w:rPr>
        <w:t>Table 8 and Figure 3 reveal that the full-sample result substantially understates the relationship in stable market regimes. In the pre-COVID subperiod, the VIX_change coefficient is approximately −0.0015 in all four markets, roughly twice the full-sample magnitude, and significant at the 1 percent level. The R² values reach 5.1 percent (WIG20), 6.3 percent (BUX), 6.1 percent (ATX), and 9.4 percent (PX). The pre-COVID R² for the PX is particularly striking: the VIX change alone explained nearly 10 percent of next-day PX return variance, exceptionally high for daily-frequency predictability.</w:t>
      </w:r>
    </w:p>
    <w:p>
      <w:pPr>
        <w:pStyle w:val="Normal"/>
        <w:spacing w:lineRule="auto" w:line="276" w:before="0" w:after="60"/>
        <w:jc w:val="both"/>
        <w:rPr/>
      </w:pPr>
      <w:r>
        <w:rPr>
          <w:rFonts w:eastAsia="Times New Roman" w:cs="Times New Roman"/>
          <w:sz w:val="24"/>
          <w:szCs w:val="24"/>
        </w:rPr>
        <w:t>In the post-COVID subperiod, the relationship persists but weakens. Coefficients range from -0.00069 (PX) to -0.00134 (WIG20), all still statistically significant at the 1 percent level. R² values are smaller (2.0 to 2.6 percent) but consistent with the baseline range.</w:t>
      </w:r>
    </w:p>
    <w:p>
      <w:pPr>
        <w:pStyle w:val="Normal"/>
        <w:spacing w:lineRule="auto" w:line="276" w:before="0" w:after="60"/>
        <w:jc w:val="both"/>
        <w:rPr/>
      </w:pPr>
      <w:r>
        <w:rPr>
          <w:rFonts w:eastAsia="Times New Roman" w:cs="Times New Roman"/>
          <w:sz w:val="24"/>
          <w:szCs w:val="24"/>
        </w:rPr>
        <w:t>Three conclusions follow from the subperiod evidence. First, the full-sample regression, which represents the headline specification in most of the empirical literature, systematically understates the strength of the predictive relationship. Second, predictability holds robustly across structurally distinct market regimes, including a non-overlapping out-of-sample test (pre-COVID to post-COVID), which addresses a key concern in the return-predictability literature regarding coefficient stability. Third, 1 percent significance is attained in every market and in every stable subperiod, a result that contrasts starkly with the marginal significance obtained in the full-sample baseline and reflects the contaminating influence of the 2020 to 2021 transition on aggregate coefficient estimates.</w:t>
      </w:r>
    </w:p>
    <w:p>
      <w:pPr>
        <w:pStyle w:val="Heading1"/>
        <w:spacing w:lineRule="auto" w:line="276" w:before="360" w:after="200"/>
        <w:rPr/>
      </w:pPr>
      <w:r>
        <w:rPr>
          <w:rFonts w:eastAsia="Times New Roman" w:cs="Times New Roman"/>
          <w:b/>
          <w:bCs/>
          <w:sz w:val="28"/>
          <w:szCs w:val="28"/>
        </w:rPr>
        <w:t>5  Conclusion</w:t>
      </w:r>
    </w:p>
    <w:p>
      <w:pPr>
        <w:pStyle w:val="Normal"/>
        <w:spacing w:lineRule="auto" w:line="276" w:before="0" w:after="60"/>
        <w:jc w:val="both"/>
        <w:rPr/>
      </w:pPr>
      <w:r>
        <w:rPr>
          <w:rFonts w:eastAsia="Times New Roman" w:cs="Times New Roman"/>
          <w:sz w:val="24"/>
          <w:szCs w:val="24"/>
        </w:rPr>
        <w:t>This paper has examined whether the CBOE Volatility Index contains predictive information for next-day returns in four Central European equity markets (the WIG20, BUX, PX, and ATX) over the period from January 2018 to December 2024. Five specifications were brought to bear: a baseline OLS regression with Newey-West HAC standard errors, a rolling 252-day window analysis, a regime-based interaction decomposition, a GARCH(1,1) standardization of conditional variance, and a pre-COVID versus post-COVID subperiod split. Across all five specifications, the central finding holds: daily VIX changes negatively predict next-day CEE returns.</w:t>
      </w:r>
    </w:p>
    <w:p>
      <w:pPr>
        <w:pStyle w:val="Normal"/>
        <w:spacing w:lineRule="auto" w:line="276" w:before="0" w:after="60"/>
        <w:jc w:val="both"/>
        <w:rPr/>
      </w:pPr>
      <w:r>
        <w:rPr>
          <w:rFonts w:eastAsia="Times New Roman" w:cs="Times New Roman"/>
          <w:sz w:val="24"/>
          <w:szCs w:val="24"/>
        </w:rPr>
        <w:t>Daily VIX changes negatively predict next-day CEE returns in all four markets, with baseline point estimates clustered tightly around −0.0008 per VIX point. The contemporaneous level of the VIX carries no incremental predictive content. The relationship is therefore driven by daily innovations in fear rather than by its ambient level, an outcome consistent with a news-shock interpretation of the VIX.</w:t>
      </w:r>
    </w:p>
    <w:p>
      <w:pPr>
        <w:pStyle w:val="Normal"/>
        <w:spacing w:lineRule="auto" w:line="276" w:before="0" w:after="60"/>
        <w:jc w:val="both"/>
        <w:rPr/>
      </w:pPr>
      <w:r>
        <w:rPr>
          <w:rFonts w:eastAsia="Times New Roman" w:cs="Times New Roman"/>
          <w:sz w:val="24"/>
          <w:szCs w:val="24"/>
        </w:rPr>
        <w:t>Rolling-window estimates remain negative in 97 to 99 percent of all 252-day windows, with magnitudes deepening during the COVID-19 crash and the Russia-Ukraine shock. The most unexpected result is the regime asymmetry: VIX-based predictability is approximately two to three times stronger during calm regimes than during crisis regimes, a finding that inverts the contagion-amplification hypothesis and is attributed to signal-to-noise deterioration, intraday price adjustment, and mean reversion in extreme volatility observations.</w:t>
      </w:r>
    </w:p>
    <w:p>
      <w:pPr>
        <w:pStyle w:val="Normal"/>
        <w:spacing w:lineRule="auto" w:line="276" w:before="0" w:after="60"/>
        <w:jc w:val="both"/>
        <w:rPr/>
      </w:pPr>
      <w:r>
        <w:rPr>
          <w:rFonts w:eastAsia="Times New Roman" w:cs="Times New Roman"/>
          <w:sz w:val="24"/>
          <w:szCs w:val="24"/>
        </w:rPr>
        <w:t>Standardization of returns by their GARCH(1,1) conditional volatility sharpens the empirical finding: the VIX_change coefficient becomes significant at the 1 percent level in all four markets, indicating that the baseline result was attenuated rather than driven by heteroskedasticity. Partitioning the sample at the COVID-19 shock sharpens the result further: in the pre-COVID subperiod the VIX accounts for up to 9.4 percent of next-day PX return variance, an R² that is exceptional by the standards of daily-frequency return predictability research.</w:t>
      </w:r>
    </w:p>
    <w:p>
      <w:pPr>
        <w:pStyle w:val="Normal"/>
        <w:spacing w:lineRule="auto" w:line="276" w:before="0" w:after="60"/>
        <w:jc w:val="both"/>
        <w:rPr/>
      </w:pPr>
      <w:r>
        <w:rPr>
          <w:rFonts w:eastAsia="Times New Roman" w:cs="Times New Roman"/>
          <w:sz w:val="24"/>
          <w:szCs w:val="24"/>
        </w:rPr>
        <w:t>Two practical implications follow from these results. For investors, the persistent negative VIX-CEE relationship suggests that long positions in VIX futures or VIX-linked instruments offer a partial hedge against CEE equity exposure, with the hedge most cost-effective during precisely those calm market periods in which the underlying predictive link is strongest. For financial stability authorities, the weakening of next-day predictability during stress periods is a substantive finding in its own right: the strong contemporaneous co-movement documented in the integration literature does not necessarily extrapolate to overnight predictive transmission once volatility enters an elevated regime.</w:t>
      </w:r>
    </w:p>
    <w:p>
      <w:pPr>
        <w:pStyle w:val="Normal"/>
        <w:spacing w:lineRule="auto" w:line="276" w:before="0" w:after="60"/>
        <w:jc w:val="both"/>
        <w:rPr/>
      </w:pPr>
      <w:r>
        <w:rPr>
          <w:rFonts w:eastAsia="Times New Roman" w:cs="Times New Roman"/>
          <w:sz w:val="24"/>
          <w:szCs w:val="24"/>
        </w:rPr>
        <w:t>Several extensions would sharpen the empirical picture further. Higher-frequency data could separate intraday from overnight transmission, which the daily-data setup of this paper cannot resolve. Quantile regression methods could establish whether the predictive effect is symmetric across the conditional return distribution. The incorporation of local volatility indices, such as the V2X for the eurozone, could isolate US-specific sentiment effects from broader European risk factors. Finally, a Markov-switching specification would allow regime boundaries to be determined endogenously rather than imposed by an arbitrary threshold, a natural extension given the sensitivity of the regime results to the definition of crisis periods.</w:t>
      </w:r>
    </w:p>
    <w:p>
      <w:pPr>
        <w:pStyle w:val="Heading2"/>
        <w:spacing w:lineRule="auto" w:line="276" w:before="240" w:after="120"/>
        <w:rPr/>
      </w:pPr>
      <w:r>
        <w:rPr>
          <w:rFonts w:eastAsia="Times New Roman" w:cs="Times New Roman"/>
          <w:b/>
          <w:bCs/>
          <w:sz w:val="24"/>
          <w:szCs w:val="24"/>
        </w:rPr>
        <w:t>Acknowledgment of AI assistance</w:t>
      </w:r>
    </w:p>
    <w:p>
      <w:pPr>
        <w:pStyle w:val="Normal"/>
        <w:spacing w:lineRule="auto" w:line="276" w:before="0" w:after="60"/>
        <w:jc w:val="both"/>
        <w:rPr/>
      </w:pPr>
      <w:r>
        <w:rPr>
          <w:rFonts w:eastAsia="Times New Roman" w:cs="Times New Roman"/>
          <w:sz w:val="24"/>
          <w:szCs w:val="24"/>
        </w:rPr>
        <w:t>Claude (claude.ai, Anthropic) was used as a writing and coding assistant: for prose refinement, for Python coding structure in the statsmodels and arch libraries, and for genereal structural feedback. All research design, empirical results, and interpretations are the author's own. The replication code in Appendix A allows every empirical claim to be independently verified.</w:t>
      </w:r>
    </w:p>
    <w:p>
      <w:pPr>
        <w:pStyle w:val="Heading2"/>
        <w:spacing w:lineRule="auto" w:line="276" w:before="240" w:after="120"/>
        <w:rPr/>
      </w:pPr>
      <w:r>
        <w:rPr>
          <w:rFonts w:eastAsia="Times New Roman" w:cs="Times New Roman"/>
          <w:b/>
          <w:bCs/>
          <w:sz w:val="24"/>
          <w:szCs w:val="24"/>
        </w:rPr>
        <w:t>Zoznam použitej literatúry / References</w:t>
      </w:r>
    </w:p>
    <w:p>
      <w:pPr>
        <w:pStyle w:val="Normal"/>
        <w:spacing w:lineRule="auto" w:line="240" w:before="0" w:after="80"/>
        <w:ind w:hanging="720" w:start="720"/>
        <w:jc w:val="both"/>
        <w:rPr/>
      </w:pPr>
      <w:r>
        <w:rPr>
          <w:rFonts w:eastAsia="Times New Roman" w:cs="Times New Roman"/>
          <w:sz w:val="24"/>
          <w:szCs w:val="24"/>
        </w:rPr>
        <w:t>BAKER, M., WURGLER, J., YUAN, Y. 2012. Global, Local, and Contagious Investor Sentiment. In Journal of Financial Economics. Vol. 104, No. 2, pp. 272–287. ISSN 0304-405X.</w:t>
      </w:r>
    </w:p>
    <w:p>
      <w:pPr>
        <w:pStyle w:val="Normal"/>
        <w:spacing w:lineRule="auto" w:line="240" w:before="0" w:after="80"/>
        <w:ind w:hanging="720" w:start="720"/>
        <w:jc w:val="both"/>
        <w:rPr/>
      </w:pPr>
      <w:r>
        <w:rPr>
          <w:rFonts w:eastAsia="Times New Roman" w:cs="Times New Roman"/>
          <w:sz w:val="24"/>
          <w:szCs w:val="24"/>
        </w:rPr>
        <w:t>BEKAERT, G., EHRMANN, M., FRATZSCHER, M., MEHL, A. 2014. The Global Crisis and Equity Market Contagion. In Journal of Finance. Vol. 69, No. 6, pp. 2597–2649. ISSN 0022-1082.</w:t>
      </w:r>
    </w:p>
    <w:p>
      <w:pPr>
        <w:pStyle w:val="Normal"/>
        <w:spacing w:lineRule="auto" w:line="240" w:before="0" w:after="80"/>
        <w:ind w:hanging="720" w:start="720"/>
        <w:jc w:val="both"/>
        <w:rPr/>
      </w:pPr>
      <w:r>
        <w:rPr>
          <w:rFonts w:eastAsia="Times New Roman" w:cs="Times New Roman"/>
          <w:sz w:val="24"/>
          <w:szCs w:val="24"/>
        </w:rPr>
        <w:t>BEKAERT, G., HOEROVA, M. 2014. The VIX, the Variance Premium and Stock Market Volatility. In Journal of Econometrics. Vol. 183, No. 2, pp. 181–192. ISSN 0304-4076.</w:t>
      </w:r>
    </w:p>
    <w:p>
      <w:pPr>
        <w:pStyle w:val="Normal"/>
        <w:spacing w:lineRule="auto" w:line="240" w:before="0" w:after="80"/>
        <w:ind w:hanging="720" w:start="720"/>
        <w:jc w:val="both"/>
        <w:rPr/>
      </w:pPr>
      <w:r>
        <w:rPr>
          <w:rFonts w:eastAsia="Times New Roman" w:cs="Times New Roman"/>
          <w:sz w:val="24"/>
          <w:szCs w:val="24"/>
        </w:rPr>
        <w:t>BOLLERSLEV, T. 1986. Generalized Autoregressive Conditional Heteroskedasticity. In Journal of Econometrics. Vol. 31, No. 3, pp. 307–327. ISSN 0304-4076.</w:t>
      </w:r>
    </w:p>
    <w:p>
      <w:pPr>
        <w:pStyle w:val="Normal"/>
        <w:spacing w:lineRule="auto" w:line="240" w:before="0" w:after="80"/>
        <w:ind w:hanging="720" w:start="720"/>
        <w:jc w:val="both"/>
        <w:rPr/>
      </w:pPr>
      <w:r>
        <w:rPr>
          <w:rFonts w:eastAsia="Times New Roman" w:cs="Times New Roman"/>
          <w:sz w:val="24"/>
          <w:szCs w:val="24"/>
        </w:rPr>
        <w:t>DIEBOLD, F.X., YILMAZ, K. 2009. Measuring Financial Asset Return and Volatility Spillovers, with Application to Global Equity Markets. In Economic Journal. Vol. 119, No. 534, pp. 158–171. ISSN 0013-0133.</w:t>
      </w:r>
    </w:p>
    <w:p>
      <w:pPr>
        <w:pStyle w:val="Normal"/>
        <w:spacing w:lineRule="auto" w:line="240" w:before="0" w:after="80"/>
        <w:ind w:hanging="720" w:start="720"/>
        <w:jc w:val="both"/>
        <w:rPr/>
      </w:pPr>
      <w:r>
        <w:rPr>
          <w:rFonts w:eastAsia="Times New Roman" w:cs="Times New Roman"/>
          <w:sz w:val="24"/>
          <w:szCs w:val="24"/>
        </w:rPr>
        <w:t>DIEBOLD, F.X., YILMAZ, K. 2012. Better to Give than to Receive: Predictive Directional Measurement of Volatility Spillovers. In International Journal of Forecasting. Vol. 28, No. 1, pp. 57–66. ISSN 0169-2070.</w:t>
      </w:r>
    </w:p>
    <w:p>
      <w:pPr>
        <w:pStyle w:val="Normal"/>
        <w:spacing w:lineRule="auto" w:line="240" w:before="0" w:after="80"/>
        <w:ind w:hanging="720" w:start="720"/>
        <w:jc w:val="both"/>
        <w:rPr/>
      </w:pPr>
      <w:r>
        <w:rPr>
          <w:rFonts w:eastAsia="Times New Roman" w:cs="Times New Roman"/>
          <w:sz w:val="24"/>
          <w:szCs w:val="24"/>
        </w:rPr>
        <w:t>ÉGERT, B., KOČENDA, E. 2007. Interdependence between Eastern and Western European Stock Markets: Evidence from Intraday Data. In Economic Systems. Vol. 31, No. 2, pp. 184–203. ISSN 0939-3625.</w:t>
      </w:r>
    </w:p>
    <w:p>
      <w:pPr>
        <w:pStyle w:val="Normal"/>
        <w:spacing w:lineRule="auto" w:line="240" w:before="0" w:after="80"/>
        <w:ind w:hanging="720" w:start="720"/>
        <w:jc w:val="both"/>
        <w:rPr/>
      </w:pPr>
      <w:r>
        <w:rPr>
          <w:rFonts w:eastAsia="Times New Roman" w:cs="Times New Roman"/>
          <w:sz w:val="24"/>
          <w:szCs w:val="24"/>
        </w:rPr>
        <w:t>FERNANDES, M., MEDEIROS, M.C., SCHARTH, M. 2014. Modeling and Predicting the CBOE Market Volatility Index. In Journal of Banking &amp; Finance. Vol. 40, pp. 1–10. ISSN 0378-4266.</w:t>
      </w:r>
    </w:p>
    <w:p>
      <w:pPr>
        <w:pStyle w:val="Normal"/>
        <w:spacing w:lineRule="auto" w:line="240" w:before="0" w:after="80"/>
        <w:ind w:hanging="720" w:start="720"/>
        <w:jc w:val="both"/>
        <w:rPr/>
      </w:pPr>
      <w:r>
        <w:rPr>
          <w:rFonts w:eastAsia="Times New Roman" w:cs="Times New Roman"/>
          <w:sz w:val="24"/>
          <w:szCs w:val="24"/>
        </w:rPr>
        <w:t>FORBES, K.J., RIGOBON, R. 2002. No Contagion, Only Interdependence: Measuring Stock Market Comovements. In Journal of Finance. Vol. 57, No. 5, pp. 2223–2261. ISSN 0022-1082.</w:t>
      </w:r>
    </w:p>
    <w:p>
      <w:pPr>
        <w:pStyle w:val="Normal"/>
        <w:spacing w:lineRule="auto" w:line="240" w:before="0" w:after="80"/>
        <w:ind w:hanging="720" w:start="720"/>
        <w:jc w:val="both"/>
        <w:rPr/>
      </w:pPr>
      <w:r>
        <w:rPr>
          <w:rFonts w:eastAsia="Times New Roman" w:cs="Times New Roman"/>
          <w:sz w:val="24"/>
          <w:szCs w:val="24"/>
        </w:rPr>
        <w:t>HAMAO, Y., MASULIS, R.W., NG, V. 1990. Correlations in Price Changes and Volatility across International Stock Markets. In Review of Financial Studies. Vol. 3, No. 2, pp. 281–307. ISSN 0893-9454.</w:t>
      </w:r>
    </w:p>
    <w:p>
      <w:pPr>
        <w:pStyle w:val="Normal"/>
        <w:spacing w:lineRule="auto" w:line="240" w:before="0" w:after="80"/>
        <w:ind w:hanging="720" w:start="720"/>
        <w:jc w:val="both"/>
        <w:rPr/>
      </w:pPr>
      <w:r>
        <w:rPr>
          <w:rFonts w:eastAsia="Times New Roman" w:cs="Times New Roman"/>
          <w:sz w:val="24"/>
          <w:szCs w:val="24"/>
        </w:rPr>
        <w:t>NEWEY, W.K., WEST, K.D. 1987. A Simple, Positive Semi-Definite, Heteroskedasticity and Autocorrelation Consistent Covariance Matrix. In Econometrica. Vol. 55, No. 3, pp. 703–708. ISSN 0012-9682.</w:t>
      </w:r>
    </w:p>
    <w:p>
      <w:pPr>
        <w:pStyle w:val="Normal"/>
        <w:spacing w:lineRule="auto" w:line="240" w:before="0" w:after="80"/>
        <w:ind w:hanging="720" w:start="720"/>
        <w:jc w:val="both"/>
        <w:rPr/>
      </w:pPr>
      <w:r>
        <w:rPr>
          <w:rFonts w:eastAsia="Times New Roman" w:cs="Times New Roman"/>
          <w:sz w:val="24"/>
          <w:szCs w:val="24"/>
        </w:rPr>
        <w:t>WELCH, I., GOYAL, A. 2008. A Comprehensive Look at the Empirical Performance of Equity Premium Prediction. In Review of Financial Studies. Vol. 21, No. 4, pp. 1455–1508. ISSN 0893-9454.</w:t>
      </w:r>
    </w:p>
    <w:p>
      <w:pPr>
        <w:pStyle w:val="Normal"/>
        <w:spacing w:lineRule="auto" w:line="240" w:before="0" w:after="80"/>
        <w:ind w:hanging="720" w:start="720"/>
        <w:jc w:val="both"/>
        <w:rPr/>
      </w:pPr>
      <w:r>
        <w:rPr>
          <w:rFonts w:eastAsia="Times New Roman" w:cs="Times New Roman"/>
          <w:sz w:val="24"/>
          <w:szCs w:val="24"/>
        </w:rPr>
        <w:t>WHALEY, R.E. 2000. The Investor Fear Gauge. In Journal of Portfolio Management. Vol. 26, No. 3, pp. 12–17. ISSN 0095-4918.</w:t>
      </w:r>
    </w:p>
    <w:p>
      <w:pPr>
        <w:pStyle w:val="Normal"/>
        <w:spacing w:lineRule="auto" w:line="240" w:before="0" w:after="80"/>
        <w:ind w:hanging="720" w:start="720"/>
        <w:jc w:val="both"/>
        <w:rPr/>
      </w:pPr>
      <w:r>
        <w:rPr>
          <w:rFonts w:eastAsia="Times New Roman" w:cs="Times New Roman"/>
          <w:sz w:val="24"/>
          <w:szCs w:val="24"/>
        </w:rPr>
        <w:t>CBOE GLOBAL MARKETS. 2024. CBOE Volatility Index (VIX) Historical Data. Retrieved via Yahoo Finance. Available at: https://finance.yahoo.com/</w:t>
      </w:r>
    </w:p>
    <w:p>
      <w:pPr>
        <w:pStyle w:val="Normal"/>
        <w:spacing w:lineRule="auto" w:line="240" w:before="0" w:after="80"/>
        <w:ind w:hanging="720" w:start="720"/>
        <w:jc w:val="both"/>
        <w:rPr/>
      </w:pPr>
      <w:r>
        <w:rPr>
          <w:rFonts w:eastAsia="Times New Roman" w:cs="Times New Roman"/>
          <w:sz w:val="24"/>
          <w:szCs w:val="24"/>
        </w:rPr>
        <w:t>STOOQ.COM. 2024. Historical Index Data: WIG20, BUX, PX. Available at: https://stooq.com/</w:t>
      </w:r>
    </w:p>
    <w:p>
      <w:pPr>
        <w:pStyle w:val="Normal"/>
        <w:spacing w:lineRule="auto" w:line="240" w:before="0" w:after="80"/>
        <w:ind w:hanging="720" w:start="720"/>
        <w:jc w:val="both"/>
        <w:rPr/>
      </w:pPr>
      <w:r>
        <w:rPr>
          <w:rFonts w:eastAsia="Times New Roman" w:cs="Times New Roman"/>
          <w:sz w:val="24"/>
          <w:szCs w:val="24"/>
        </w:rPr>
        <w:t>WIENER BÖRSE AG. 2024. ATX Historical Index Values. Available at: https://www.wienerborse.at/</w:t>
      </w:r>
    </w:p>
    <w:p>
      <w:pPr>
        <w:pStyle w:val="Normal"/>
        <w:spacing w:lineRule="auto" w:line="240" w:before="0" w:after="80"/>
        <w:ind w:hanging="720" w:start="720"/>
        <w:jc w:val="both"/>
        <w:rPr/>
      </w:pPr>
      <w:r>
        <w:rPr>
          <w:rFonts w:eastAsia="Times New Roman" w:cs="Times New Roman"/>
          <w:sz w:val="24"/>
          <w:szCs w:val="24"/>
        </w:rPr>
        <w:t>Appendix A: Replication Code. The complete analysis pipeline is available as an open-source MIT-licensed repository comprising seven Jupyter notebooks.</w:t>
      </w:r>
    </w:p>
    <w:sectPr>
      <w:footerReference w:type="even" r:id="rId5"/>
      <w:footerReference w:type="default" r:id="rId6"/>
      <w:footerReference w:type="first" r:id="rId7"/>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15</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15</w:t>
    </w:r>
    <w:r>
      <w:rPr>
        <w:rFonts w:eastAsia="Times New Roman" w:cs="Times New Roman"/>
        <w:sz w:val="24"/>
        <w:szCs w:val="24"/>
      </w:rPr>
      <w:fldChar w:fldCharType="end"/>
    </w:r>
  </w:p>
</w:ftr>
</file>

<file path=word/settings.xml><?xml version="1.0" encoding="utf-8"?>
<w:settings xmlns:w="http://schemas.openxmlformats.org/wordprocessingml/2006/main">
  <w:zoom w:percent="13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LibreOffice/26.2.3.2$Linux_X86_64 LibreOffice_project/d4d5ed47b6084125f28d269a5650105d54dde034</Application>
  <AppVersion>15.0000</AppVersion>
  <Pages>2</Pages>
  <Words>5907</Words>
  <Characters>34740</Characters>
  <CharactersWithSpaces>40192</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2026-05-15T16:33:21Z</dcterms:created>
  <dc:creator>Herman Kaufman</dc:creator>
  <dc:description/>
  <dc:language>en-US</dc:language>
  <cp:lastModifiedBy/>
  <dcterms:modified xsi:type="dcterms:W3CDTF">2026-05-15T19:46:39Z</dcterms:modified>
  <cp:revision>3</cp:revision>
  <dc:subject/>
  <dc:title>Does Investor Fear Travel? VIX Spillovers and Equity Return Predictability in Central European Markets</dc:title>
</cp:coreProperties>
</file>

<file path=docProps/custom.xml><?xml version="1.0" encoding="utf-8"?>
<Properties xmlns="http://schemas.openxmlformats.org/officeDocument/2006/custom-properties" xmlns:vt="http://schemas.openxmlformats.org/officeDocument/2006/docPropsVTypes"/>
</file>