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91AF" w14:textId="77777777" w:rsidR="000855C1" w:rsidRPr="00A906DE" w:rsidRDefault="00000000">
      <w:pPr>
        <w:spacing w:after="480"/>
        <w:rPr>
          <w:rFonts w:ascii="Times New Roman" w:hAnsi="Times New Roman" w:cs="Times New Roman"/>
        </w:rPr>
      </w:pPr>
      <w:proofErr w:type="spellStart"/>
      <w:r w:rsidRPr="00A906DE">
        <w:rPr>
          <w:rFonts w:ascii="Times New Roman" w:hAnsi="Times New Roman" w:cs="Times New Roman"/>
          <w:b/>
          <w:sz w:val="48"/>
        </w:rPr>
        <w:t>Matriz</w:t>
      </w:r>
      <w:proofErr w:type="spellEnd"/>
      <w:r w:rsidRPr="00A906DE">
        <w:rPr>
          <w:rFonts w:ascii="Times New Roman" w:hAnsi="Times New Roman" w:cs="Times New Roman"/>
          <w:b/>
          <w:sz w:val="48"/>
        </w:rPr>
        <w:t xml:space="preserve"> de </w:t>
      </w:r>
      <w:proofErr w:type="spellStart"/>
      <w:r w:rsidRPr="00A906DE">
        <w:rPr>
          <w:rFonts w:ascii="Times New Roman" w:hAnsi="Times New Roman" w:cs="Times New Roman"/>
          <w:b/>
          <w:sz w:val="48"/>
        </w:rPr>
        <w:t>Requerimientos</w:t>
      </w:r>
      <w:proofErr w:type="spellEnd"/>
      <w:r w:rsidRPr="00A906DE">
        <w:rPr>
          <w:rFonts w:ascii="Times New Roman" w:hAnsi="Times New Roman" w:cs="Times New Roman"/>
          <w:b/>
          <w:sz w:val="48"/>
        </w:rPr>
        <w:t xml:space="preserve"> </w:t>
      </w:r>
      <w:proofErr w:type="spellStart"/>
      <w:r w:rsidRPr="00A906DE">
        <w:rPr>
          <w:rFonts w:ascii="Times New Roman" w:hAnsi="Times New Roman" w:cs="Times New Roman"/>
          <w:b/>
          <w:sz w:val="48"/>
        </w:rPr>
        <w:t>Estructurada</w:t>
      </w:r>
      <w:proofErr w:type="spellEnd"/>
      <w:r w:rsidRPr="00A906DE">
        <w:rPr>
          <w:rFonts w:ascii="Times New Roman" w:hAnsi="Times New Roman" w:cs="Times New Roman"/>
          <w:b/>
          <w:sz w:val="48"/>
        </w:rPr>
        <w:t xml:space="preserve"> (RF y RNF)</w:t>
      </w:r>
    </w:p>
    <w:p w14:paraId="22AECE6D" w14:textId="77777777" w:rsidR="000855C1" w:rsidRPr="00A906DE" w:rsidRDefault="00000000">
      <w:pPr>
        <w:keepNext/>
        <w:pBdr>
          <w:bottom w:val="single" w:sz="6" w:space="4" w:color="CBD5E1"/>
        </w:pBdr>
        <w:spacing w:before="20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36"/>
        </w:rPr>
        <w:t>2. Requerimientos Funcionales (RF)</w:t>
      </w:r>
    </w:p>
    <w:p w14:paraId="2731FBFF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A. Gestión de Autenticación, Usuarios y Permisos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6274667B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39D3BA8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02066398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4A275D3D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6330CEA4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3D2D4347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68C7505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RF-01</w:t>
            </w:r>
          </w:p>
        </w:tc>
        <w:tc>
          <w:tcPr>
            <w:tcW w:w="2160" w:type="dxa"/>
          </w:tcPr>
          <w:p w14:paraId="75720FB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Inicio de Sesión de Usuarios</w:t>
            </w:r>
          </w:p>
        </w:tc>
        <w:tc>
          <w:tcPr>
            <w:tcW w:w="2160" w:type="dxa"/>
          </w:tcPr>
          <w:p w14:paraId="33D1C39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Autenticación por credenciales</w:t>
            </w:r>
          </w:p>
        </w:tc>
        <w:tc>
          <w:tcPr>
            <w:tcW w:w="3744" w:type="dxa"/>
          </w:tcPr>
          <w:p w14:paraId="11491EBF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Facilita el ingreso a la plataforma mediante la validación del correo electrónico y la contraseña previamente registrados por el usuario.</w:t>
            </w:r>
          </w:p>
        </w:tc>
      </w:tr>
      <w:tr w:rsidR="000855C1" w:rsidRPr="00A906DE" w14:paraId="48B83999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C7AD5FC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RF-02</w:t>
            </w:r>
          </w:p>
        </w:tc>
        <w:tc>
          <w:tcPr>
            <w:tcW w:w="2160" w:type="dxa"/>
          </w:tcPr>
          <w:p w14:paraId="5F6FDA32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Registro e Invitación de Usuarios</w:t>
            </w:r>
          </w:p>
        </w:tc>
        <w:tc>
          <w:tcPr>
            <w:tcW w:w="2160" w:type="dxa"/>
          </w:tcPr>
          <w:p w14:paraId="61128C19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Envío automático, Sistema de correo</w:t>
            </w:r>
          </w:p>
        </w:tc>
        <w:tc>
          <w:tcPr>
            <w:tcW w:w="3744" w:type="dxa"/>
          </w:tcPr>
          <w:p w14:paraId="1F95966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Permite a los administradores dar de alta nuevas cuentas, disparando un email de forma automática para que el usuario configure su clave inicial.</w:t>
            </w:r>
          </w:p>
        </w:tc>
      </w:tr>
      <w:tr w:rsidR="000855C1" w:rsidRPr="00A906DE" w14:paraId="6842B855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E867B4C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RF-03</w:t>
            </w:r>
          </w:p>
        </w:tc>
        <w:tc>
          <w:tcPr>
            <w:tcW w:w="2160" w:type="dxa"/>
          </w:tcPr>
          <w:p w14:paraId="6834EED8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Restablecimiento de Contraseña</w:t>
            </w:r>
          </w:p>
        </w:tc>
        <w:tc>
          <w:tcPr>
            <w:tcW w:w="2160" w:type="dxa"/>
          </w:tcPr>
          <w:p w14:paraId="51BBC54F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Enlace de vigencia temporal</w:t>
            </w:r>
          </w:p>
        </w:tc>
        <w:tc>
          <w:tcPr>
            <w:tcW w:w="3744" w:type="dxa"/>
          </w:tcPr>
          <w:p w14:paraId="2B8D56A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Provee un mecanismo seguro para recuperar el acceso enviando un enlace con caducidad limitada directo a la bandeja de entrada del solicitante.</w:t>
            </w:r>
          </w:p>
        </w:tc>
      </w:tr>
      <w:tr w:rsidR="000855C1" w:rsidRPr="00A906DE" w14:paraId="4B6C3A47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2A68964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RF-04</w:t>
            </w:r>
          </w:p>
        </w:tc>
        <w:tc>
          <w:tcPr>
            <w:tcW w:w="2160" w:type="dxa"/>
          </w:tcPr>
          <w:p w14:paraId="29F1AC7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Protección de Rutas Privadas</w:t>
            </w:r>
          </w:p>
        </w:tc>
        <w:tc>
          <w:tcPr>
            <w:tcW w:w="2160" w:type="dxa"/>
          </w:tcPr>
          <w:p w14:paraId="3772946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Validación JWT, AuthGuard</w:t>
            </w:r>
          </w:p>
        </w:tc>
        <w:tc>
          <w:tcPr>
            <w:tcW w:w="3744" w:type="dxa"/>
          </w:tcPr>
          <w:p w14:paraId="41B4AD6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Bloquea sistemáticamente el acceso a la API del backend si la petición no incluye un token de sesión válido, garantizando seguridad en los datos.</w:t>
            </w:r>
          </w:p>
        </w:tc>
      </w:tr>
      <w:tr w:rsidR="000855C1" w:rsidRPr="00A906DE" w14:paraId="4CAFFDC4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04A00B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RF-05</w:t>
            </w:r>
          </w:p>
        </w:tc>
        <w:tc>
          <w:tcPr>
            <w:tcW w:w="2160" w:type="dxa"/>
          </w:tcPr>
          <w:p w14:paraId="567C8F33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Gestión de Roles Multitendencia</w:t>
            </w:r>
          </w:p>
        </w:tc>
        <w:tc>
          <w:tcPr>
            <w:tcW w:w="2160" w:type="dxa"/>
          </w:tcPr>
          <w:p w14:paraId="038E832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Asignación dinámica de perfiles</w:t>
            </w:r>
          </w:p>
        </w:tc>
        <w:tc>
          <w:tcPr>
            <w:tcW w:w="3744" w:type="dxa"/>
          </w:tcPr>
          <w:p w14:paraId="0D49362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Habilita a los administradores para otorgar uno o múltiples roles operativos a un mismo usuario a través de endpoints de gestión.</w:t>
            </w:r>
          </w:p>
        </w:tc>
      </w:tr>
      <w:tr w:rsidR="000855C1" w:rsidRPr="00A906DE" w14:paraId="541E92E4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6A7227F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RF-06</w:t>
            </w:r>
          </w:p>
        </w:tc>
        <w:tc>
          <w:tcPr>
            <w:tcW w:w="2160" w:type="dxa"/>
          </w:tcPr>
          <w:p w14:paraId="24E310E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Validación Granular de Accesos</w:t>
            </w:r>
          </w:p>
        </w:tc>
        <w:tc>
          <w:tcPr>
            <w:tcW w:w="2160" w:type="dxa"/>
          </w:tcPr>
          <w:p w14:paraId="360BE1D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RequirePermissions, Guards</w:t>
            </w:r>
          </w:p>
        </w:tc>
        <w:tc>
          <w:tcPr>
            <w:tcW w:w="3744" w:type="dxa"/>
          </w:tcPr>
          <w:p w14:paraId="00E45F09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Chequea rigurosamente que el perfil cuente con los permisos exactos requeridos antes de procesar operaciones de lectura o escritura protegidas.</w:t>
            </w:r>
          </w:p>
        </w:tc>
      </w:tr>
    </w:tbl>
    <w:p w14:paraId="33F61EA1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0401D7B7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B. Gestión de Órdenes de Servicio (ODS) y Mantenimiento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3AFE4488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5BD370F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56F62166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3B6C35EC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415D7FD7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6B270D95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797DEB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RF-07</w:t>
            </w:r>
          </w:p>
        </w:tc>
        <w:tc>
          <w:tcPr>
            <w:tcW w:w="2160" w:type="dxa"/>
          </w:tcPr>
          <w:p w14:paraId="2846D22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Apertura de Órdenes de Servicio</w:t>
            </w:r>
          </w:p>
        </w:tc>
        <w:tc>
          <w:tcPr>
            <w:tcW w:w="2160" w:type="dxa"/>
          </w:tcPr>
          <w:p w14:paraId="3FF87E8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Registro relacional de ODS</w:t>
            </w:r>
          </w:p>
        </w:tc>
        <w:tc>
          <w:tcPr>
            <w:tcW w:w="3744" w:type="dxa"/>
          </w:tcPr>
          <w:p w14:paraId="3B19E30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Crea nuevos tickets vinculando de manera obligatoria al cliente, un recepcionista emisor, el equipo a intervenir y, opcionalmente, un técnico asignado.</w:t>
            </w:r>
          </w:p>
        </w:tc>
      </w:tr>
      <w:tr w:rsidR="000855C1" w:rsidRPr="00A906DE" w14:paraId="25DD5994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440F401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RF-08</w:t>
            </w:r>
          </w:p>
        </w:tc>
        <w:tc>
          <w:tcPr>
            <w:tcW w:w="2160" w:type="dxa"/>
          </w:tcPr>
          <w:p w14:paraId="5ADDB35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Secuenciación de ODS</w:t>
            </w:r>
          </w:p>
        </w:tc>
        <w:tc>
          <w:tcPr>
            <w:tcW w:w="2160" w:type="dxa"/>
          </w:tcPr>
          <w:p w14:paraId="0635D67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workOrderNumber Automático</w:t>
            </w:r>
          </w:p>
        </w:tc>
        <w:tc>
          <w:tcPr>
            <w:tcW w:w="3744" w:type="dxa"/>
          </w:tcPr>
          <w:p w14:paraId="5A706B9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El sistema genera correlativamente un código único y alfanumérico para identificar sin margen de error cada orden de trabajo ingresada.</w:t>
            </w:r>
          </w:p>
        </w:tc>
      </w:tr>
      <w:tr w:rsidR="000855C1" w:rsidRPr="00A906DE" w14:paraId="315C3C71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7C239B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RF-09</w:t>
            </w:r>
          </w:p>
        </w:tc>
        <w:tc>
          <w:tcPr>
            <w:tcW w:w="2160" w:type="dxa"/>
          </w:tcPr>
          <w:p w14:paraId="312BF43F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Priorización de Atención Técnica</w:t>
            </w:r>
          </w:p>
        </w:tc>
        <w:tc>
          <w:tcPr>
            <w:tcW w:w="2160" w:type="dxa"/>
          </w:tcPr>
          <w:p w14:paraId="7E45F08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Clasificación de ODS</w:t>
            </w:r>
          </w:p>
        </w:tc>
        <w:tc>
          <w:tcPr>
            <w:tcW w:w="3744" w:type="dxa"/>
          </w:tcPr>
          <w:p w14:paraId="5C292423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Categoriza las solicitudes de servicio según su urgencia (ej. EXPRESS o normales) para optimizar y dar jerarquía a la cola de atención en el taller.</w:t>
            </w:r>
          </w:p>
        </w:tc>
      </w:tr>
      <w:tr w:rsidR="000855C1" w:rsidRPr="00A906DE" w14:paraId="0B9CE4B6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A8779D7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lastRenderedPageBreak/>
              <w:t>RF-10</w:t>
            </w:r>
          </w:p>
        </w:tc>
        <w:tc>
          <w:tcPr>
            <w:tcW w:w="2160" w:type="dxa"/>
          </w:tcPr>
          <w:p w14:paraId="7A5A0F2F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Inventario de Recepción</w:t>
            </w:r>
          </w:p>
        </w:tc>
        <w:tc>
          <w:tcPr>
            <w:tcW w:w="2160" w:type="dxa"/>
          </w:tcPr>
          <w:p w14:paraId="6C05755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Registro textual de fallas y accesorios</w:t>
            </w:r>
          </w:p>
        </w:tc>
        <w:tc>
          <w:tcPr>
            <w:tcW w:w="3744" w:type="dxa"/>
          </w:tcPr>
          <w:p w14:paraId="28742AD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Documenta de manera exhaustiva los elementos físicos entregados junto al dispositivo y transcribe el problema exacto reportado por el cliente.</w:t>
            </w:r>
          </w:p>
        </w:tc>
      </w:tr>
      <w:tr w:rsidR="000855C1" w:rsidRPr="00A906DE" w14:paraId="4EF85349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CFEC2BB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RF-11</w:t>
            </w:r>
          </w:p>
        </w:tc>
        <w:tc>
          <w:tcPr>
            <w:tcW w:w="2160" w:type="dxa"/>
          </w:tcPr>
          <w:p w14:paraId="748144A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Peritaje y Diagnóstico Adaptable</w:t>
            </w:r>
          </w:p>
        </w:tc>
        <w:tc>
          <w:tcPr>
            <w:tcW w:w="2160" w:type="dxa"/>
          </w:tcPr>
          <w:p w14:paraId="1E333713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Formulario dinámico JSONB</w:t>
            </w:r>
          </w:p>
        </w:tc>
        <w:tc>
          <w:tcPr>
            <w:tcW w:w="3744" w:type="dxa"/>
          </w:tcPr>
          <w:p w14:paraId="2DD4922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Guarda los resultados de la evaluación inicial mediante listas de chequeo (checklistData) que se adaptan a la naturaleza del equipo inspeccionado.</w:t>
            </w:r>
          </w:p>
        </w:tc>
      </w:tr>
      <w:tr w:rsidR="000855C1" w:rsidRPr="00A906DE" w14:paraId="30A4271C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7A0054B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RF-12</w:t>
            </w:r>
          </w:p>
        </w:tc>
        <w:tc>
          <w:tcPr>
            <w:tcW w:w="2160" w:type="dxa"/>
          </w:tcPr>
          <w:p w14:paraId="40F7C5B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Bitácoras de Mantenimiento</w:t>
            </w:r>
          </w:p>
        </w:tc>
        <w:tc>
          <w:tcPr>
            <w:tcW w:w="2160" w:type="dxa"/>
          </w:tcPr>
          <w:p w14:paraId="7C68010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Registro histórico de actividades</w:t>
            </w:r>
          </w:p>
        </w:tc>
        <w:tc>
          <w:tcPr>
            <w:tcW w:w="3744" w:type="dxa"/>
          </w:tcPr>
          <w:p w14:paraId="3CFC285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Faculta a los técnicos para detallar progresivamente las intervenciones, reparaciones y acciones ejecutadas durante el ciclo de mantenimiento.</w:t>
            </w:r>
          </w:p>
        </w:tc>
      </w:tr>
      <w:tr w:rsidR="000855C1" w:rsidRPr="00A906DE" w14:paraId="31A8CADF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47D3C08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RF-13</w:t>
            </w:r>
          </w:p>
        </w:tc>
        <w:tc>
          <w:tcPr>
            <w:tcW w:w="2160" w:type="dxa"/>
          </w:tcPr>
          <w:p w14:paraId="7374D718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Localización Física de Equipos</w:t>
            </w:r>
          </w:p>
        </w:tc>
        <w:tc>
          <w:tcPr>
            <w:tcW w:w="2160" w:type="dxa"/>
          </w:tcPr>
          <w:p w14:paraId="646CABE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Asignación de casilleros de taller</w:t>
            </w:r>
          </w:p>
        </w:tc>
        <w:tc>
          <w:tcPr>
            <w:tcW w:w="3744" w:type="dxa"/>
          </w:tcPr>
          <w:p w14:paraId="380BA43F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Vincula el dispositivo en reparación a un espacio de almacenamiento real y numerado para mitigar extravíos y agilizar su búsqueda.</w:t>
            </w:r>
          </w:p>
        </w:tc>
      </w:tr>
      <w:tr w:rsidR="000855C1" w:rsidRPr="00A906DE" w14:paraId="04D37CFF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7B9984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RF-14</w:t>
            </w:r>
          </w:p>
        </w:tc>
        <w:tc>
          <w:tcPr>
            <w:tcW w:w="2160" w:type="dxa"/>
          </w:tcPr>
          <w:p w14:paraId="27BD21E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Adjuntos de Evidencia Técnica</w:t>
            </w:r>
          </w:p>
        </w:tc>
        <w:tc>
          <w:tcPr>
            <w:tcW w:w="2160" w:type="dxa"/>
          </w:tcPr>
          <w:p w14:paraId="1DC9DF8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Carga de material multimedia</w:t>
            </w:r>
          </w:p>
        </w:tc>
        <w:tc>
          <w:tcPr>
            <w:tcW w:w="3744" w:type="dxa"/>
          </w:tcPr>
          <w:p w14:paraId="649009C3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Permite subir fotografías y videos que respalden el estado del equipo, registrando automáticamente al autor y la fase de la ODS durante la carga.</w:t>
            </w:r>
          </w:p>
        </w:tc>
      </w:tr>
      <w:tr w:rsidR="000855C1" w:rsidRPr="00A906DE" w14:paraId="269FD03E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06EFF7B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RF-15</w:t>
            </w:r>
          </w:p>
        </w:tc>
        <w:tc>
          <w:tcPr>
            <w:tcW w:w="2160" w:type="dxa"/>
          </w:tcPr>
          <w:p w14:paraId="7D4BD80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Auditoría de Transición de Estados</w:t>
            </w:r>
          </w:p>
        </w:tc>
        <w:tc>
          <w:tcPr>
            <w:tcW w:w="2160" w:type="dxa"/>
          </w:tcPr>
          <w:p w14:paraId="61ABE6F9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HistorialEstadoOrden</w:t>
            </w:r>
          </w:p>
        </w:tc>
        <w:tc>
          <w:tcPr>
            <w:tcW w:w="3744" w:type="dxa"/>
          </w:tcPr>
          <w:p w14:paraId="1AC8DBA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Monitorea los cambios de fase de cada orden, almacenando la fecha exacta, el responsable de la acción y el estado tanto de origen como de destino.</w:t>
            </w:r>
          </w:p>
        </w:tc>
      </w:tr>
      <w:tr w:rsidR="000855C1" w:rsidRPr="00A906DE" w14:paraId="1CE91093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C0498F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RF-16</w:t>
            </w:r>
          </w:p>
        </w:tc>
        <w:tc>
          <w:tcPr>
            <w:tcW w:w="2160" w:type="dxa"/>
          </w:tcPr>
          <w:p w14:paraId="376C14C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Gestión Lógica de Registros</w:t>
            </w:r>
          </w:p>
        </w:tc>
        <w:tc>
          <w:tcPr>
            <w:tcW w:w="2160" w:type="dxa"/>
          </w:tcPr>
          <w:p w14:paraId="48666EE9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Soft delete y restauración</w:t>
            </w:r>
          </w:p>
        </w:tc>
        <w:tc>
          <w:tcPr>
            <w:tcW w:w="3744" w:type="dxa"/>
          </w:tcPr>
          <w:p w14:paraId="1CB9BF3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Brinda la posibilidad en el panel administrativo de desactivar órdenes mediante borrado lógico, permitiendo revertir la acción si es necesario.</w:t>
            </w:r>
          </w:p>
        </w:tc>
      </w:tr>
      <w:tr w:rsidR="000855C1" w:rsidRPr="00A906DE" w14:paraId="5E024816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42D9359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RF-17</w:t>
            </w:r>
          </w:p>
        </w:tc>
        <w:tc>
          <w:tcPr>
            <w:tcW w:w="2160" w:type="dxa"/>
          </w:tcPr>
          <w:p w14:paraId="537A7CC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Interfaces Personalizadas de Consulta</w:t>
            </w:r>
          </w:p>
        </w:tc>
        <w:tc>
          <w:tcPr>
            <w:tcW w:w="2160" w:type="dxa"/>
          </w:tcPr>
          <w:p w14:paraId="1D12722E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Vistas optimizadas por rol</w:t>
            </w:r>
          </w:p>
        </w:tc>
        <w:tc>
          <w:tcPr>
            <w:tcW w:w="3744" w:type="dxa"/>
          </w:tcPr>
          <w:p w14:paraId="67B320E8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Presenta paneles adaptados donde el personal técnico visualiza sus asignaciones y los clientes monitorean exclusivamente sus dispositivos.</w:t>
            </w:r>
          </w:p>
        </w:tc>
      </w:tr>
      <w:tr w:rsidR="000855C1" w:rsidRPr="00A906DE" w14:paraId="4040FE43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8944BBC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RF-18</w:t>
            </w:r>
          </w:p>
        </w:tc>
        <w:tc>
          <w:tcPr>
            <w:tcW w:w="2160" w:type="dxa"/>
          </w:tcPr>
          <w:p w14:paraId="0C2A39A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Portal de Consulta Pública</w:t>
            </w:r>
          </w:p>
        </w:tc>
        <w:tc>
          <w:tcPr>
            <w:tcW w:w="2160" w:type="dxa"/>
          </w:tcPr>
          <w:p w14:paraId="4AF3552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Búsqueda por Cédula/RUC y ODS</w:t>
            </w:r>
          </w:p>
        </w:tc>
        <w:tc>
          <w:tcPr>
            <w:tcW w:w="3744" w:type="dxa"/>
          </w:tcPr>
          <w:p w14:paraId="7417631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Habilita una pantalla externa sin requerimiento de login para que el dueño del dispositivo verifique el estado de su equipo con sus credenciales básicas.</w:t>
            </w:r>
          </w:p>
        </w:tc>
      </w:tr>
    </w:tbl>
    <w:p w14:paraId="18671DE5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46F28D98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C. Gestión de Almacén e Inventario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18C66D8F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22ECAEC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382B9D3F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7C3C47BC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2F98ECF0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76B9E3C7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F65CD89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RF-19</w:t>
            </w:r>
          </w:p>
        </w:tc>
        <w:tc>
          <w:tcPr>
            <w:tcW w:w="2160" w:type="dxa"/>
          </w:tcPr>
          <w:p w14:paraId="4F8AB84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Catálogo Extendido de Inventario</w:t>
            </w:r>
          </w:p>
        </w:tc>
        <w:tc>
          <w:tcPr>
            <w:tcW w:w="2160" w:type="dxa"/>
          </w:tcPr>
          <w:p w14:paraId="17CCDF9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Gestión de partes y precios</w:t>
            </w:r>
          </w:p>
        </w:tc>
        <w:tc>
          <w:tcPr>
            <w:tcW w:w="3744" w:type="dxa"/>
          </w:tcPr>
          <w:p w14:paraId="29A9EB7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Almacena la matriz de repuestos incluyendo códigos, marcas, costos y cuatro diferentes niveles de tarifas de venta (PVP, mayorista, distribuidor, etc.).</w:t>
            </w:r>
          </w:p>
        </w:tc>
      </w:tr>
      <w:tr w:rsidR="000855C1" w:rsidRPr="00A906DE" w14:paraId="6E271167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4643D0E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RF-20</w:t>
            </w:r>
          </w:p>
        </w:tc>
        <w:tc>
          <w:tcPr>
            <w:tcW w:w="2160" w:type="dxa"/>
          </w:tcPr>
          <w:p w14:paraId="2487345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Clasificación Flexible de Ítems</w:t>
            </w:r>
          </w:p>
        </w:tc>
        <w:tc>
          <w:tcPr>
            <w:tcW w:w="2160" w:type="dxa"/>
          </w:tcPr>
          <w:p w14:paraId="71F03A9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Fraccionamiento y Servicios</w:t>
            </w:r>
          </w:p>
        </w:tc>
        <w:tc>
          <w:tcPr>
            <w:tcW w:w="3744" w:type="dxa"/>
          </w:tcPr>
          <w:p w14:paraId="28054B5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Diferencia entre artículos medibles en decimales (fraccionables) y conceptos abstractos (servicios) que no requieren un control estricto de stock físico.</w:t>
            </w:r>
          </w:p>
        </w:tc>
      </w:tr>
      <w:tr w:rsidR="000855C1" w:rsidRPr="00A906DE" w14:paraId="128A3BC6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BD39859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RF-21</w:t>
            </w:r>
          </w:p>
        </w:tc>
        <w:tc>
          <w:tcPr>
            <w:tcW w:w="2160" w:type="dxa"/>
          </w:tcPr>
          <w:p w14:paraId="2F8878F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Asiento de Adquisiciones</w:t>
            </w:r>
          </w:p>
        </w:tc>
        <w:tc>
          <w:tcPr>
            <w:tcW w:w="2160" w:type="dxa"/>
          </w:tcPr>
          <w:p w14:paraId="219514C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Registro de comprobantes de compra</w:t>
            </w:r>
          </w:p>
        </w:tc>
        <w:tc>
          <w:tcPr>
            <w:tcW w:w="3744" w:type="dxa"/>
          </w:tcPr>
          <w:p w14:paraId="6F4A5AC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Capta el ingreso de mercadería documentando el número de factura fiscal, los detalles del proveedor, impuestos desglosados y el monto total.</w:t>
            </w:r>
          </w:p>
        </w:tc>
      </w:tr>
      <w:tr w:rsidR="000855C1" w:rsidRPr="00A906DE" w14:paraId="18FEFF1B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C23D18D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RF-22</w:t>
            </w:r>
          </w:p>
        </w:tc>
        <w:tc>
          <w:tcPr>
            <w:tcW w:w="2160" w:type="dxa"/>
          </w:tcPr>
          <w:p w14:paraId="652AF80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Abastecimiento Automatizado</w:t>
            </w:r>
          </w:p>
        </w:tc>
        <w:tc>
          <w:tcPr>
            <w:tcW w:w="2160" w:type="dxa"/>
          </w:tcPr>
          <w:p w14:paraId="3C79C3F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Sincronización de compras</w:t>
            </w:r>
          </w:p>
        </w:tc>
        <w:tc>
          <w:tcPr>
            <w:tcW w:w="3744" w:type="dxa"/>
          </w:tcPr>
          <w:p w14:paraId="265EAC2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Suma de manera instantánea las cantidades de repuestos adquiridas al inventario disponible tras el registro exitoso de una nueva factura.</w:t>
            </w:r>
          </w:p>
        </w:tc>
      </w:tr>
      <w:tr w:rsidR="000855C1" w:rsidRPr="00A906DE" w14:paraId="24AF696D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98D655C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RF-23</w:t>
            </w:r>
          </w:p>
        </w:tc>
        <w:tc>
          <w:tcPr>
            <w:tcW w:w="2160" w:type="dxa"/>
          </w:tcPr>
          <w:p w14:paraId="107636E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 xml:space="preserve">Anulación de </w:t>
            </w:r>
            <w:r w:rsidRPr="00A906DE">
              <w:rPr>
                <w:rFonts w:ascii="Times New Roman" w:hAnsi="Times New Roman" w:cs="Times New Roman"/>
                <w:b/>
                <w:sz w:val="19"/>
              </w:rPr>
              <w:lastRenderedPageBreak/>
              <w:t>Comprobantes</w:t>
            </w:r>
          </w:p>
        </w:tc>
        <w:tc>
          <w:tcPr>
            <w:tcW w:w="2160" w:type="dxa"/>
          </w:tcPr>
          <w:p w14:paraId="222492B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lastRenderedPageBreak/>
              <w:t xml:space="preserve">Reversión automática de </w:t>
            </w:r>
            <w:r w:rsidRPr="00A906DE">
              <w:rPr>
                <w:rFonts w:ascii="Times New Roman" w:hAnsi="Times New Roman" w:cs="Times New Roman"/>
                <w:i/>
                <w:sz w:val="18"/>
              </w:rPr>
              <w:lastRenderedPageBreak/>
              <w:t>stock</w:t>
            </w:r>
          </w:p>
        </w:tc>
        <w:tc>
          <w:tcPr>
            <w:tcW w:w="3744" w:type="dxa"/>
          </w:tcPr>
          <w:p w14:paraId="701D075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lastRenderedPageBreak/>
              <w:t xml:space="preserve">Ejecuta una compensación que descuenta del </w:t>
            </w:r>
            <w:r w:rsidRPr="00A906DE">
              <w:rPr>
                <w:rFonts w:ascii="Times New Roman" w:hAnsi="Times New Roman" w:cs="Times New Roman"/>
                <w:sz w:val="19"/>
              </w:rPr>
              <w:lastRenderedPageBreak/>
              <w:t>almacén los elementos sumados previamente cuando se cancela o anula una transacción de compra.</w:t>
            </w:r>
          </w:p>
        </w:tc>
      </w:tr>
      <w:tr w:rsidR="000855C1" w:rsidRPr="00A906DE" w14:paraId="16291D78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86C45BF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lastRenderedPageBreak/>
              <w:t>RF-24</w:t>
            </w:r>
          </w:p>
        </w:tc>
        <w:tc>
          <w:tcPr>
            <w:tcW w:w="2160" w:type="dxa"/>
          </w:tcPr>
          <w:p w14:paraId="6CBCB7B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Ajustes Manuales de Almacén</w:t>
            </w:r>
          </w:p>
        </w:tc>
        <w:tc>
          <w:tcPr>
            <w:tcW w:w="2160" w:type="dxa"/>
          </w:tcPr>
          <w:p w14:paraId="1EE0766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Auditoría física y mermas</w:t>
            </w:r>
          </w:p>
        </w:tc>
        <w:tc>
          <w:tcPr>
            <w:tcW w:w="3744" w:type="dxa"/>
          </w:tcPr>
          <w:p w14:paraId="242AB9D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Permite al usuario administrador registrar discrepancias de stock, comparando la cantidad del sistema con el conteo real y calculando la diferencia.</w:t>
            </w:r>
          </w:p>
        </w:tc>
      </w:tr>
    </w:tbl>
    <w:p w14:paraId="425C3153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65DD27D9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D. Módulo de Presupuestos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24FE67E3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04EA2D8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13CA31B5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4EE19C55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40374FD5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4435673F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EE42A35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RF-25</w:t>
            </w:r>
          </w:p>
        </w:tc>
        <w:tc>
          <w:tcPr>
            <w:tcW w:w="2160" w:type="dxa"/>
          </w:tcPr>
          <w:p w14:paraId="22341CAE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Generación de Presupuestos</w:t>
            </w:r>
          </w:p>
        </w:tc>
        <w:tc>
          <w:tcPr>
            <w:tcW w:w="2160" w:type="dxa"/>
          </w:tcPr>
          <w:p w14:paraId="443D087E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Desglose técnico y económico</w:t>
            </w:r>
          </w:p>
        </w:tc>
        <w:tc>
          <w:tcPr>
            <w:tcW w:w="3744" w:type="dxa"/>
          </w:tcPr>
          <w:p w14:paraId="747B95F9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Crea cotizaciones asociadas a una orden detallando de forma clara los costos de los repuestos implicados y la mano de obra estimada.</w:t>
            </w:r>
          </w:p>
        </w:tc>
      </w:tr>
      <w:tr w:rsidR="000855C1" w:rsidRPr="00A906DE" w14:paraId="1CA5F678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FC6A40B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RF-26</w:t>
            </w:r>
          </w:p>
        </w:tc>
        <w:tc>
          <w:tcPr>
            <w:tcW w:w="2160" w:type="dxa"/>
          </w:tcPr>
          <w:p w14:paraId="129010C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Validación Operativa de Presupuestos</w:t>
            </w:r>
          </w:p>
        </w:tc>
        <w:tc>
          <w:tcPr>
            <w:tcW w:w="2160" w:type="dxa"/>
          </w:tcPr>
          <w:p w14:paraId="3BDFEFB8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Flujo de actualización de ODS</w:t>
            </w:r>
          </w:p>
        </w:tc>
        <w:tc>
          <w:tcPr>
            <w:tcW w:w="3744" w:type="dxa"/>
          </w:tcPr>
          <w:p w14:paraId="18FC2862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Modifica automáticamente la fase de la orden de servicio (ej. 'esperando aprobación' o 'en reparación') dependiendo si el cliente aprueba o rechaza el presupuesto.</w:t>
            </w:r>
          </w:p>
        </w:tc>
      </w:tr>
      <w:tr w:rsidR="000855C1" w:rsidRPr="00A906DE" w14:paraId="13E9004D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5ED1C48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RF-27</w:t>
            </w:r>
          </w:p>
        </w:tc>
        <w:tc>
          <w:tcPr>
            <w:tcW w:w="2160" w:type="dxa"/>
          </w:tcPr>
          <w:p w14:paraId="1462C2F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Aceptación de Cotizaciones en Línea</w:t>
            </w:r>
          </w:p>
        </w:tc>
        <w:tc>
          <w:tcPr>
            <w:tcW w:w="2160" w:type="dxa"/>
          </w:tcPr>
          <w:p w14:paraId="2BDE11D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Vista simplificada para clientes</w:t>
            </w:r>
          </w:p>
        </w:tc>
        <w:tc>
          <w:tcPr>
            <w:tcW w:w="3744" w:type="dxa"/>
          </w:tcPr>
          <w:p w14:paraId="015E261E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Proporciona un resumen claro y de fácil lectura a través de la interfaz web para que el cliente pueda autorizar económicamente el trabajo a distancia.</w:t>
            </w:r>
          </w:p>
        </w:tc>
      </w:tr>
    </w:tbl>
    <w:p w14:paraId="6CBD54AD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366659DC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E. Módulo de Reportes y Dashboards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14BF920E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F922976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754D53DA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3296D70B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5FC49CC8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3D1D8B29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52DE0F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RF-28</w:t>
            </w:r>
          </w:p>
        </w:tc>
        <w:tc>
          <w:tcPr>
            <w:tcW w:w="2160" w:type="dxa"/>
          </w:tcPr>
          <w:p w14:paraId="4A1D970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Dashboard Analítico Gerencial</w:t>
            </w:r>
          </w:p>
        </w:tc>
        <w:tc>
          <w:tcPr>
            <w:tcW w:w="2160" w:type="dxa"/>
          </w:tcPr>
          <w:p w14:paraId="6C38B10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Métricas e indicadores interactivos</w:t>
            </w:r>
          </w:p>
        </w:tc>
        <w:tc>
          <w:tcPr>
            <w:tcW w:w="3744" w:type="dxa"/>
          </w:tcPr>
          <w:p w14:paraId="55EB40B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Despliega en la pantalla principal estadísticas consolidadas del rendimiento general del taller, soportando la aplicación de filtros por rangos de fecha.</w:t>
            </w:r>
          </w:p>
        </w:tc>
      </w:tr>
      <w:tr w:rsidR="000855C1" w:rsidRPr="00A906DE" w14:paraId="00027889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707AF6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RF-29</w:t>
            </w:r>
          </w:p>
        </w:tc>
        <w:tc>
          <w:tcPr>
            <w:tcW w:w="2160" w:type="dxa"/>
          </w:tcPr>
          <w:p w14:paraId="432A0BC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Generación de Reportes Exportables</w:t>
            </w:r>
          </w:p>
        </w:tc>
        <w:tc>
          <w:tcPr>
            <w:tcW w:w="2160" w:type="dxa"/>
          </w:tcPr>
          <w:p w14:paraId="3F11C38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Data histórica y productividad</w:t>
            </w:r>
          </w:p>
        </w:tc>
        <w:tc>
          <w:tcPr>
            <w:tcW w:w="3744" w:type="dxa"/>
          </w:tcPr>
          <w:p w14:paraId="2786F8C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Emite documentos analíticos que abarcan la valoración del inventario, rentabilidad, efectividad técnica, facturación de compras y frecuencia de clientes.</w:t>
            </w:r>
          </w:p>
        </w:tc>
      </w:tr>
    </w:tbl>
    <w:p w14:paraId="79D6C083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3EA449E4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F. Mensajería y Alertas en Tiempo Real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2FC4AD6B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FB3919C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66E5E915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1D2BBB8C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31C6B96F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7921BF90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73DB066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RF-30</w:t>
            </w:r>
          </w:p>
        </w:tc>
        <w:tc>
          <w:tcPr>
            <w:tcW w:w="2160" w:type="dxa"/>
          </w:tcPr>
          <w:p w14:paraId="04A4FA52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Alertas y Notificaciones Instantáneas</w:t>
            </w:r>
          </w:p>
        </w:tc>
        <w:tc>
          <w:tcPr>
            <w:tcW w:w="2160" w:type="dxa"/>
          </w:tcPr>
          <w:p w14:paraId="4823D748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Arquitectura basada en WebSockets</w:t>
            </w:r>
          </w:p>
        </w:tc>
        <w:tc>
          <w:tcPr>
            <w:tcW w:w="3744" w:type="dxa"/>
          </w:tcPr>
          <w:p w14:paraId="2206C78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Transmite eventos críticos a las interfaces de los usuarios en milisegundos, avisando sobre asignaciones de técnicos o transiciones de estado de órdenes.</w:t>
            </w:r>
          </w:p>
        </w:tc>
      </w:tr>
      <w:tr w:rsidR="000855C1" w:rsidRPr="00A906DE" w14:paraId="3AAFC0F6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EBEEDA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RF-31</w:t>
            </w:r>
          </w:p>
        </w:tc>
        <w:tc>
          <w:tcPr>
            <w:tcW w:w="2160" w:type="dxa"/>
          </w:tcPr>
          <w:p w14:paraId="1DAEE5C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Monitoreo Preventivo de Stock</w:t>
            </w:r>
          </w:p>
        </w:tc>
        <w:tc>
          <w:tcPr>
            <w:tcW w:w="2160" w:type="dxa"/>
          </w:tcPr>
          <w:p w14:paraId="59B19DD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Chequeo asíncrono inicial</w:t>
            </w:r>
          </w:p>
        </w:tc>
        <w:tc>
          <w:tcPr>
            <w:tcW w:w="3744" w:type="dxa"/>
          </w:tcPr>
          <w:p w14:paraId="0E00404F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Ejecuta una validación en segundo plano al arrancar el backend, alertando a la administración si la existencia de algún componente perfora su nivel mínimo de seguridad.</w:t>
            </w:r>
          </w:p>
        </w:tc>
      </w:tr>
    </w:tbl>
    <w:p w14:paraId="038A61EE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6EDBA2A7" w14:textId="77777777" w:rsidR="000855C1" w:rsidRPr="00A906DE" w:rsidRDefault="00000000">
      <w:pPr>
        <w:keepNext/>
        <w:pBdr>
          <w:bottom w:val="single" w:sz="6" w:space="4" w:color="CBD5E1"/>
        </w:pBdr>
        <w:spacing w:before="36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36"/>
        </w:rPr>
        <w:lastRenderedPageBreak/>
        <w:t>3. Requerimientos No Funcionales (RNF)</w:t>
      </w:r>
    </w:p>
    <w:p w14:paraId="7AFBCD89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A. Seguridad (Security)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3B1EA13D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08FE2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5909E71E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6BF44D67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164A4AA7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54AD74E5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11C8052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RNF-01</w:t>
            </w:r>
          </w:p>
        </w:tc>
        <w:tc>
          <w:tcPr>
            <w:tcW w:w="2160" w:type="dxa"/>
          </w:tcPr>
          <w:p w14:paraId="5D73977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Confidencialidad de API</w:t>
            </w:r>
          </w:p>
        </w:tc>
        <w:tc>
          <w:tcPr>
            <w:tcW w:w="2160" w:type="dxa"/>
          </w:tcPr>
          <w:p w14:paraId="36877E1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Protección de endpoints, Bearer JWT</w:t>
            </w:r>
          </w:p>
        </w:tc>
        <w:tc>
          <w:tcPr>
            <w:tcW w:w="3744" w:type="dxa"/>
          </w:tcPr>
          <w:p w14:paraId="06FDE10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Exige invariablemente la inclusión de un token de acceso válido en las cabeceras HTTP para asegurar las comunicaciones, salvo para consultas públicas.</w:t>
            </w:r>
          </w:p>
        </w:tc>
      </w:tr>
      <w:tr w:rsidR="000855C1" w:rsidRPr="00A906DE" w14:paraId="3D04196E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6A625D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RNF-02</w:t>
            </w:r>
          </w:p>
        </w:tc>
        <w:tc>
          <w:tcPr>
            <w:tcW w:w="2160" w:type="dxa"/>
          </w:tcPr>
          <w:p w14:paraId="154C563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Cifrado Criptográfico de Contraseñas</w:t>
            </w:r>
          </w:p>
        </w:tc>
        <w:tc>
          <w:tcPr>
            <w:tcW w:w="2160" w:type="dxa"/>
          </w:tcPr>
          <w:p w14:paraId="2C9439F3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Algoritmo seguro bcrypt</w:t>
            </w:r>
          </w:p>
        </w:tc>
        <w:tc>
          <w:tcPr>
            <w:tcW w:w="3744" w:type="dxa"/>
          </w:tcPr>
          <w:p w14:paraId="4D7FDB12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Garantiza que todas las credenciales se persistan en PostgreSQL habiendo sido procesadas con una función de hash y un factor de costo estandarizado.</w:t>
            </w:r>
          </w:p>
        </w:tc>
      </w:tr>
      <w:tr w:rsidR="000855C1" w:rsidRPr="00A906DE" w14:paraId="40CFBE3D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1506D45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RNF-03</w:t>
            </w:r>
          </w:p>
        </w:tc>
        <w:tc>
          <w:tcPr>
            <w:tcW w:w="2160" w:type="dxa"/>
          </w:tcPr>
          <w:p w14:paraId="657CE7E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Arquitectura de Seguridad en Capas</w:t>
            </w:r>
          </w:p>
        </w:tc>
        <w:tc>
          <w:tcPr>
            <w:tcW w:w="2160" w:type="dxa"/>
          </w:tcPr>
          <w:p w14:paraId="03D8673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AuthGuard, RolesGuard, PermsGuard</w:t>
            </w:r>
          </w:p>
        </w:tc>
        <w:tc>
          <w:tcPr>
            <w:tcW w:w="3744" w:type="dxa"/>
          </w:tcPr>
          <w:p w14:paraId="1FFCD04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Evalúa de forma secuencial la validez de la sesión, los perfiles del usuario y los privilegios atómicos asociados antes de ejecutar consultas a la base de datos.</w:t>
            </w:r>
          </w:p>
        </w:tc>
      </w:tr>
      <w:tr w:rsidR="000855C1" w:rsidRPr="00A906DE" w14:paraId="433D623E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CC200B3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RNF-04</w:t>
            </w:r>
          </w:p>
        </w:tc>
        <w:tc>
          <w:tcPr>
            <w:tcW w:w="2160" w:type="dxa"/>
          </w:tcPr>
          <w:p w14:paraId="39A1CB5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Sanitización Estricta de Entradas</w:t>
            </w:r>
          </w:p>
        </w:tc>
        <w:tc>
          <w:tcPr>
            <w:tcW w:w="2160" w:type="dxa"/>
          </w:tcPr>
          <w:p w14:paraId="0F037DD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Filtros ValidationPipe (NestJS)</w:t>
            </w:r>
          </w:p>
        </w:tc>
        <w:tc>
          <w:tcPr>
            <w:tcW w:w="3744" w:type="dxa"/>
          </w:tcPr>
          <w:p w14:paraId="13FF466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Purifica automáticamente los payloads HTTP entrantes, bloqueando parámetros prohibidos o extraños para prevenir inyecciones de código y fallos.</w:t>
            </w:r>
          </w:p>
        </w:tc>
      </w:tr>
      <w:tr w:rsidR="000855C1" w:rsidRPr="00A906DE" w14:paraId="63983D58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4EEC987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RNF-05</w:t>
            </w:r>
          </w:p>
        </w:tc>
        <w:tc>
          <w:tcPr>
            <w:tcW w:w="2160" w:type="dxa"/>
          </w:tcPr>
          <w:p w14:paraId="77B6142F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Protección de Sesión en Cliente</w:t>
            </w:r>
          </w:p>
        </w:tc>
        <w:tc>
          <w:tcPr>
            <w:tcW w:w="2160" w:type="dxa"/>
          </w:tcPr>
          <w:p w14:paraId="1F314E9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Persistencia segura con NextAuth.js</w:t>
            </w:r>
          </w:p>
        </w:tc>
        <w:tc>
          <w:tcPr>
            <w:tcW w:w="3744" w:type="dxa"/>
          </w:tcPr>
          <w:p w14:paraId="41A149C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Almacena los tokens del lado del navegador en un formato restringido para mitigar la posibilidad de robo mediante ataques XSS originados por scripts de terceros.</w:t>
            </w:r>
          </w:p>
        </w:tc>
      </w:tr>
    </w:tbl>
    <w:p w14:paraId="627641F1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6DCCA6BF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B. Rendimiento y Eficiencia (Performance Efficiency)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4DDD1DF0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F25D25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49023AAD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7591E319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78C237A1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194F426F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D2632B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RNF-06</w:t>
            </w:r>
          </w:p>
        </w:tc>
        <w:tc>
          <w:tcPr>
            <w:tcW w:w="2160" w:type="dxa"/>
          </w:tcPr>
          <w:p w14:paraId="4033407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Optimización de Carga Multimedia</w:t>
            </w:r>
          </w:p>
        </w:tc>
        <w:tc>
          <w:tcPr>
            <w:tcW w:w="2160" w:type="dxa"/>
          </w:tcPr>
          <w:p w14:paraId="093BDE09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Transformación Base64 e inline URI</w:t>
            </w:r>
          </w:p>
        </w:tc>
        <w:tc>
          <w:tcPr>
            <w:tcW w:w="3744" w:type="dxa"/>
          </w:tcPr>
          <w:p w14:paraId="58C1AE79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Convierte las evidencias visuales a formatos de texto plano almacenados directamente en base de datos para anular las penalizaciones de latencia por lectura de disco.</w:t>
            </w:r>
          </w:p>
        </w:tc>
      </w:tr>
      <w:tr w:rsidR="000855C1" w:rsidRPr="00A906DE" w14:paraId="619AA3D5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0B45413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RNF-07</w:t>
            </w:r>
          </w:p>
        </w:tc>
        <w:tc>
          <w:tcPr>
            <w:tcW w:w="2160" w:type="dxa"/>
          </w:tcPr>
          <w:p w14:paraId="710A15C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Paginación Nativa en Base de Datos</w:t>
            </w:r>
          </w:p>
        </w:tc>
        <w:tc>
          <w:tcPr>
            <w:tcW w:w="2160" w:type="dxa"/>
          </w:tcPr>
          <w:p w14:paraId="2AF2219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Sentencias SQL LIMIT y OFFSET</w:t>
            </w:r>
          </w:p>
        </w:tc>
        <w:tc>
          <w:tcPr>
            <w:tcW w:w="3744" w:type="dxa"/>
          </w:tcPr>
          <w:p w14:paraId="25FFCE5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Fragmenta la extracción de listados pesados (ODS, compras, inventario) en tamaños máximos regulados, protegiendo así el consumo de memoria del servidor.</w:t>
            </w:r>
          </w:p>
        </w:tc>
      </w:tr>
      <w:tr w:rsidR="000855C1" w:rsidRPr="00A906DE" w14:paraId="44340B2E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48C1B3E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RNF-08</w:t>
            </w:r>
          </w:p>
        </w:tc>
        <w:tc>
          <w:tcPr>
            <w:tcW w:w="2160" w:type="dxa"/>
          </w:tcPr>
          <w:p w14:paraId="0DFDCC7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Inicialización de Servicios Diferida</w:t>
            </w:r>
          </w:p>
        </w:tc>
        <w:tc>
          <w:tcPr>
            <w:tcW w:w="2160" w:type="dxa"/>
          </w:tcPr>
          <w:p w14:paraId="5C9A2B93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Eventos de ciclo onAppBootstrap</w:t>
            </w:r>
          </w:p>
        </w:tc>
        <w:tc>
          <w:tcPr>
            <w:tcW w:w="3744" w:type="dxa"/>
          </w:tcPr>
          <w:p w14:paraId="21869CA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Posterga las rutinas de validación secundarias (como el chequeo de umbrales de stock) para que el encendido principal del servicio API REST no se vea retrasado.</w:t>
            </w:r>
          </w:p>
        </w:tc>
      </w:tr>
    </w:tbl>
    <w:p w14:paraId="1B9DC81E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0F12E9AA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C. Fiabilidad y Disponibilidad (Reliability)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28EBF0DF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39ACC2A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449743F2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7A1668D6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48C0D659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2D3F9643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E845AFF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RNF-09</w:t>
            </w:r>
          </w:p>
        </w:tc>
        <w:tc>
          <w:tcPr>
            <w:tcW w:w="2160" w:type="dxa"/>
          </w:tcPr>
          <w:p w14:paraId="36A3ED7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Integridad Referencial Absoluta</w:t>
            </w:r>
          </w:p>
        </w:tc>
        <w:tc>
          <w:tcPr>
            <w:tcW w:w="2160" w:type="dxa"/>
          </w:tcPr>
          <w:p w14:paraId="49DA89D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Restricciones de llaves foráneas</w:t>
            </w:r>
          </w:p>
        </w:tc>
        <w:tc>
          <w:tcPr>
            <w:tcW w:w="3744" w:type="dxa"/>
          </w:tcPr>
          <w:p w14:paraId="5FE69DC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 xml:space="preserve">Asegura la estructura relacional aplicando la regla RESTRICT para bloquear la eliminación de elementos (como proveedores o marcas) si aún tienen registros hijos </w:t>
            </w:r>
            <w:r w:rsidRPr="00A906DE">
              <w:rPr>
                <w:rFonts w:ascii="Times New Roman" w:hAnsi="Times New Roman" w:cs="Times New Roman"/>
                <w:sz w:val="19"/>
              </w:rPr>
              <w:lastRenderedPageBreak/>
              <w:t>asociados.</w:t>
            </w:r>
          </w:p>
        </w:tc>
      </w:tr>
      <w:tr w:rsidR="000855C1" w:rsidRPr="00A906DE" w14:paraId="332A59EB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B74604D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lastRenderedPageBreak/>
              <w:t>RNF-10</w:t>
            </w:r>
          </w:p>
        </w:tc>
        <w:tc>
          <w:tcPr>
            <w:tcW w:w="2160" w:type="dxa"/>
          </w:tcPr>
          <w:p w14:paraId="3A9F739E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Tolerancia a la Destrucción de Datos</w:t>
            </w:r>
          </w:p>
        </w:tc>
        <w:tc>
          <w:tcPr>
            <w:tcW w:w="2160" w:type="dxa"/>
          </w:tcPr>
          <w:p w14:paraId="122341C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Soft Delete y marcas de tiempo</w:t>
            </w:r>
          </w:p>
        </w:tc>
        <w:tc>
          <w:tcPr>
            <w:tcW w:w="3744" w:type="dxa"/>
          </w:tcPr>
          <w:p w14:paraId="6DA0214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Evita la pérdida permanente de información aplicando borrados lógicos con la columna deletedAt, preservando la capacidad de realizar auditorías retrospectivas completas.</w:t>
            </w:r>
          </w:p>
        </w:tc>
      </w:tr>
      <w:tr w:rsidR="000855C1" w:rsidRPr="00A906DE" w14:paraId="5680D532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AC86934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RNF-11</w:t>
            </w:r>
          </w:p>
        </w:tc>
        <w:tc>
          <w:tcPr>
            <w:tcW w:w="2160" w:type="dxa"/>
          </w:tcPr>
          <w:p w14:paraId="7578F21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Manejo de Excepciones Estandarizado</w:t>
            </w:r>
          </w:p>
        </w:tc>
        <w:tc>
          <w:tcPr>
            <w:tcW w:w="2160" w:type="dxa"/>
          </w:tcPr>
          <w:p w14:paraId="3BED370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Filtros unificados de NestJS</w:t>
            </w:r>
          </w:p>
        </w:tc>
        <w:tc>
          <w:tcPr>
            <w:tcW w:w="3744" w:type="dxa"/>
          </w:tcPr>
          <w:p w14:paraId="1665B29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Captura cualquier anomalía en el flujo de ejecución transformándola en una respuesta estructurada en formato JSON con los correspondientes códigos HTTP de la industria.</w:t>
            </w:r>
          </w:p>
        </w:tc>
      </w:tr>
    </w:tbl>
    <w:p w14:paraId="277FBB8D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6A4AE8A3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D. Mantenibilidad y Escalabilidad (Maintainability)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0FE36E99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6CB9BF1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5C2A4783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5D065A0F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57B9D9C0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123AE05C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316A0E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RNF-12</w:t>
            </w:r>
          </w:p>
        </w:tc>
        <w:tc>
          <w:tcPr>
            <w:tcW w:w="2160" w:type="dxa"/>
          </w:tcPr>
          <w:p w14:paraId="36267B2E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Estructura de Backend Modular</w:t>
            </w:r>
          </w:p>
        </w:tc>
        <w:tc>
          <w:tcPr>
            <w:tcW w:w="2160" w:type="dxa"/>
          </w:tcPr>
          <w:p w14:paraId="7D506A53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Dominios independientes</w:t>
            </w:r>
          </w:p>
        </w:tc>
        <w:tc>
          <w:tcPr>
            <w:tcW w:w="3744" w:type="dxa"/>
          </w:tcPr>
          <w:p w14:paraId="110BF17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Organiza el código de servidor en módulos auto-contenidos, facilitando el crecimiento orgánico del sistema y minimizando el riesgo al modificar características puntuales.</w:t>
            </w:r>
          </w:p>
        </w:tc>
      </w:tr>
      <w:tr w:rsidR="000855C1" w:rsidRPr="00A906DE" w14:paraId="69E24E13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BDEE81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RNF-13</w:t>
            </w:r>
          </w:p>
        </w:tc>
        <w:tc>
          <w:tcPr>
            <w:tcW w:w="2160" w:type="dxa"/>
          </w:tcPr>
          <w:p w14:paraId="4C73B6D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Separación Arquitectónica de Capas</w:t>
            </w:r>
          </w:p>
        </w:tc>
        <w:tc>
          <w:tcPr>
            <w:tcW w:w="2160" w:type="dxa"/>
          </w:tcPr>
          <w:p w14:paraId="0E39FFD8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Controllers, Services, DTOs, Entities</w:t>
            </w:r>
          </w:p>
        </w:tc>
        <w:tc>
          <w:tcPr>
            <w:tcW w:w="3744" w:type="dxa"/>
          </w:tcPr>
          <w:p w14:paraId="6218BB9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Mantiene responsabilidades estrictas, dividiendo la recepción de tráfico HTTP, la validación de negocio, el procesamiento lógico y el mapeo físico a base de datos.</w:t>
            </w:r>
          </w:p>
        </w:tc>
      </w:tr>
      <w:tr w:rsidR="000855C1" w:rsidRPr="00A906DE" w14:paraId="7732219F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DA1927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RNF-14</w:t>
            </w:r>
          </w:p>
        </w:tc>
        <w:tc>
          <w:tcPr>
            <w:tcW w:w="2160" w:type="dxa"/>
          </w:tcPr>
          <w:p w14:paraId="2F03B66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Reproducibilidad del Entorno</w:t>
            </w:r>
          </w:p>
        </w:tc>
        <w:tc>
          <w:tcPr>
            <w:tcW w:w="2160" w:type="dxa"/>
          </w:tcPr>
          <w:p w14:paraId="3C78461C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Seeders y scripts de inicialización</w:t>
            </w:r>
          </w:p>
        </w:tc>
        <w:tc>
          <w:tcPr>
            <w:tcW w:w="3744" w:type="dxa"/>
          </w:tcPr>
          <w:p w14:paraId="6D2673B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Provee herramientas de línea de comandos para la generación automatizada de los catálogos base, perfiles administrativos y esquemas de permisos requeridos.</w:t>
            </w:r>
          </w:p>
        </w:tc>
      </w:tr>
      <w:tr w:rsidR="000855C1" w:rsidRPr="00A906DE" w14:paraId="0D055495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940D190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RNF-15</w:t>
            </w:r>
          </w:p>
        </w:tc>
        <w:tc>
          <w:tcPr>
            <w:tcW w:w="2160" w:type="dxa"/>
          </w:tcPr>
          <w:p w14:paraId="26B46472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Aislamiento de Variables de Entorno</w:t>
            </w:r>
          </w:p>
        </w:tc>
        <w:tc>
          <w:tcPr>
            <w:tcW w:w="2160" w:type="dxa"/>
          </w:tcPr>
          <w:p w14:paraId="717E28C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Gestión de archivos .env</w:t>
            </w:r>
          </w:p>
        </w:tc>
        <w:tc>
          <w:tcPr>
            <w:tcW w:w="3744" w:type="dxa"/>
          </w:tcPr>
          <w:p w14:paraId="0FF033F1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Asegura que los datos sensibles, tokens, URLs y credenciales permanezcan abstraídos del código fuente principal y sean validados durante el arranque.</w:t>
            </w:r>
          </w:p>
        </w:tc>
      </w:tr>
    </w:tbl>
    <w:p w14:paraId="208A9C2B" w14:textId="77777777" w:rsidR="000855C1" w:rsidRPr="00A906DE" w:rsidRDefault="000855C1">
      <w:pPr>
        <w:spacing w:after="240"/>
        <w:rPr>
          <w:rFonts w:ascii="Times New Roman" w:hAnsi="Times New Roman" w:cs="Times New Roman"/>
        </w:rPr>
      </w:pPr>
    </w:p>
    <w:p w14:paraId="0095CE67" w14:textId="77777777" w:rsidR="000855C1" w:rsidRPr="00A906DE" w:rsidRDefault="00000000">
      <w:pPr>
        <w:keepNext/>
        <w:spacing w:before="240" w:after="120"/>
        <w:rPr>
          <w:rFonts w:ascii="Times New Roman" w:hAnsi="Times New Roman" w:cs="Times New Roman"/>
        </w:rPr>
      </w:pPr>
      <w:r w:rsidRPr="00A906DE">
        <w:rPr>
          <w:rFonts w:ascii="Times New Roman" w:hAnsi="Times New Roman" w:cs="Times New Roman"/>
          <w:b/>
          <w:sz w:val="28"/>
        </w:rPr>
        <w:t>E. Compatibilidad e Interoperabilidad (Compatibility)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96"/>
        <w:gridCol w:w="2160"/>
        <w:gridCol w:w="2160"/>
        <w:gridCol w:w="3744"/>
      </w:tblGrid>
      <w:tr w:rsidR="000855C1" w:rsidRPr="00A906DE" w14:paraId="56708AF3" w14:textId="77777777" w:rsidTr="00A90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E1C026A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ID Requisito</w:t>
            </w:r>
          </w:p>
        </w:tc>
        <w:tc>
          <w:tcPr>
            <w:tcW w:w="2160" w:type="dxa"/>
          </w:tcPr>
          <w:p w14:paraId="63954A70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Nombre del Requisito</w:t>
            </w:r>
          </w:p>
        </w:tc>
        <w:tc>
          <w:tcPr>
            <w:tcW w:w="2160" w:type="dxa"/>
          </w:tcPr>
          <w:p w14:paraId="71559D4A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Características</w:t>
            </w:r>
          </w:p>
        </w:tc>
        <w:tc>
          <w:tcPr>
            <w:tcW w:w="3744" w:type="dxa"/>
          </w:tcPr>
          <w:p w14:paraId="7C8005EF" w14:textId="77777777" w:rsidR="000855C1" w:rsidRPr="00A906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20"/>
              </w:rPr>
              <w:t>Descripción</w:t>
            </w:r>
          </w:p>
        </w:tc>
      </w:tr>
      <w:tr w:rsidR="000855C1" w:rsidRPr="00A906DE" w14:paraId="6DF971AB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8F601F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RNF-16</w:t>
            </w:r>
          </w:p>
        </w:tc>
        <w:tc>
          <w:tcPr>
            <w:tcW w:w="2160" w:type="dxa"/>
          </w:tcPr>
          <w:p w14:paraId="356768E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Interoperabilidad y Documentación REST</w:t>
            </w:r>
          </w:p>
        </w:tc>
        <w:tc>
          <w:tcPr>
            <w:tcW w:w="2160" w:type="dxa"/>
          </w:tcPr>
          <w:p w14:paraId="5B30C92D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Especificación OpenAPI / Swagger</w:t>
            </w:r>
          </w:p>
        </w:tc>
        <w:tc>
          <w:tcPr>
            <w:tcW w:w="3744" w:type="dxa"/>
          </w:tcPr>
          <w:p w14:paraId="79A299F6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Despliega una interfaz gráfica interactiva en la ruta /api/docs que detalla exhaustivamente los contratos y esquemas para su fácil consumo externo.</w:t>
            </w:r>
          </w:p>
        </w:tc>
      </w:tr>
      <w:tr w:rsidR="000855C1" w:rsidRPr="00A906DE" w14:paraId="73CC59DD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8A9E57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RNF-17</w:t>
            </w:r>
          </w:p>
        </w:tc>
        <w:tc>
          <w:tcPr>
            <w:tcW w:w="2160" w:type="dxa"/>
          </w:tcPr>
          <w:p w14:paraId="01E934C5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Integración SMTP para Transacciones</w:t>
            </w:r>
          </w:p>
        </w:tc>
        <w:tc>
          <w:tcPr>
            <w:tcW w:w="2160" w:type="dxa"/>
          </w:tcPr>
          <w:p w14:paraId="6A9A0FC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Conexión a pasarela Brevo</w:t>
            </w:r>
          </w:p>
        </w:tc>
        <w:tc>
          <w:tcPr>
            <w:tcW w:w="3744" w:type="dxa"/>
          </w:tcPr>
          <w:p w14:paraId="335C3790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Facilita la emisión de notificaciones a través de la API de Brevo, empleando llaves de autorización seguras y maquetando las alertas en formato HTML adaptativo.</w:t>
            </w:r>
          </w:p>
        </w:tc>
      </w:tr>
      <w:tr w:rsidR="000855C1" w:rsidRPr="00A906DE" w14:paraId="652866BF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1A0693A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RNF-18</w:t>
            </w:r>
          </w:p>
        </w:tc>
        <w:tc>
          <w:tcPr>
            <w:tcW w:w="2160" w:type="dxa"/>
          </w:tcPr>
          <w:p w14:paraId="01F185F4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Sincronización Gubernamental de Datos</w:t>
            </w:r>
          </w:p>
        </w:tc>
        <w:tc>
          <w:tcPr>
            <w:tcW w:w="2160" w:type="dxa"/>
          </w:tcPr>
          <w:p w14:paraId="29AC97BE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Catastro SRI de Ecuador (GET)</w:t>
            </w:r>
          </w:p>
        </w:tc>
        <w:tc>
          <w:tcPr>
            <w:tcW w:w="3744" w:type="dxa"/>
          </w:tcPr>
          <w:p w14:paraId="5D46188B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Reduce considerablemente los tiempos de registro y errores humanos interactuando en tiempo real con los web services del SRI para recuperar la información del RUC/Cédula.</w:t>
            </w:r>
          </w:p>
        </w:tc>
      </w:tr>
      <w:tr w:rsidR="000855C1" w:rsidRPr="00A906DE" w14:paraId="24E0B64B" w14:textId="77777777" w:rsidTr="00A90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9FA923D" w14:textId="77777777" w:rsidR="000855C1" w:rsidRPr="00A906D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RNF-19</w:t>
            </w:r>
          </w:p>
        </w:tc>
        <w:tc>
          <w:tcPr>
            <w:tcW w:w="2160" w:type="dxa"/>
          </w:tcPr>
          <w:p w14:paraId="7CC91AB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b/>
                <w:sz w:val="19"/>
              </w:rPr>
              <w:t>Estabilidad en WebSockets</w:t>
            </w:r>
          </w:p>
        </w:tc>
        <w:tc>
          <w:tcPr>
            <w:tcW w:w="2160" w:type="dxa"/>
          </w:tcPr>
          <w:p w14:paraId="4A135957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i/>
                <w:sz w:val="18"/>
              </w:rPr>
              <w:t>Transporte nativo exclusivo</w:t>
            </w:r>
          </w:p>
        </w:tc>
        <w:tc>
          <w:tcPr>
            <w:tcW w:w="3744" w:type="dxa"/>
          </w:tcPr>
          <w:p w14:paraId="63573D8A" w14:textId="77777777" w:rsidR="000855C1" w:rsidRPr="00A906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906DE">
              <w:rPr>
                <w:rFonts w:ascii="Times New Roman" w:hAnsi="Times New Roman" w:cs="Times New Roman"/>
                <w:sz w:val="19"/>
              </w:rPr>
              <w:t>Obliga a la conexión en tiempo real a utilizar estrictamente el protocolo websocket, evadiendo caídas o bloqueos típicos al pasar por firewalls o proxies inversos.</w:t>
            </w:r>
          </w:p>
        </w:tc>
      </w:tr>
    </w:tbl>
    <w:p w14:paraId="5BBE28F2" w14:textId="77777777" w:rsidR="000855C1" w:rsidRPr="00A906DE" w:rsidRDefault="000855C1">
      <w:pPr>
        <w:spacing w:after="240"/>
        <w:rPr>
          <w:rFonts w:ascii="Times New Roman" w:hAnsi="Times New Roman" w:cs="Times New Roman"/>
          <w:lang w:val="es-MX"/>
        </w:rPr>
      </w:pPr>
    </w:p>
    <w:sectPr w:rsidR="000855C1" w:rsidRPr="00A906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709282">
    <w:abstractNumId w:val="8"/>
  </w:num>
  <w:num w:numId="2" w16cid:durableId="1745832647">
    <w:abstractNumId w:val="6"/>
  </w:num>
  <w:num w:numId="3" w16cid:durableId="1766076625">
    <w:abstractNumId w:val="5"/>
  </w:num>
  <w:num w:numId="4" w16cid:durableId="20397020">
    <w:abstractNumId w:val="4"/>
  </w:num>
  <w:num w:numId="5" w16cid:durableId="1313559676">
    <w:abstractNumId w:val="7"/>
  </w:num>
  <w:num w:numId="6" w16cid:durableId="453595235">
    <w:abstractNumId w:val="3"/>
  </w:num>
  <w:num w:numId="7" w16cid:durableId="1248422340">
    <w:abstractNumId w:val="2"/>
  </w:num>
  <w:num w:numId="8" w16cid:durableId="812722980">
    <w:abstractNumId w:val="1"/>
  </w:num>
  <w:num w:numId="9" w16cid:durableId="102984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C1"/>
    <w:rsid w:val="0015074B"/>
    <w:rsid w:val="0029639D"/>
    <w:rsid w:val="00326F90"/>
    <w:rsid w:val="00991090"/>
    <w:rsid w:val="00A906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F135E2"/>
  <w14:defaultImageDpi w14:val="300"/>
  <w15:docId w15:val="{60BC7328-0B96-4601-9086-EE0D91F4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">
    <w:name w:val="Grid Table 1 Light"/>
    <w:basedOn w:val="Tablanormal"/>
    <w:uiPriority w:val="99"/>
    <w:rsid w:val="00A906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1898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Alexander Urbano Lombeida</cp:lastModifiedBy>
  <cp:revision>2</cp:revision>
  <dcterms:created xsi:type="dcterms:W3CDTF">2013-12-23T23:15:00Z</dcterms:created>
  <dcterms:modified xsi:type="dcterms:W3CDTF">2026-05-23T04:32:00Z</dcterms:modified>
  <cp:category/>
</cp:coreProperties>
</file>