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 Hook Psychology and Product Rules</w:t>
      </w:r>
    </w:p>
    <w:p>
      <w:pPr>
        <w:pStyle w:val="Heading1"/>
      </w:pPr>
      <w:r>
        <w:t>Executive conclusion</w:t>
      </w:r>
    </w:p>
    <w:p>
      <w:r>
        <w:t>Editmaxxing should treat a hook as a coordinated opening system, not a sentence template. The spoken line should establish a clear subject and a specific tension. The on-screen line should add a different, grounded question or consequence. A brief body movement should create visual onset without introducing a competing idea. This design is an evidence-informed inference from research on curiosity, headline choice, multimedia processing, motion-based attention, and social transmission; no cited study proves that this exact three-layer combination causes organic short-form virality.</w:t>
      </w:r>
    </w:p>
    <w:p>
      <w:r>
        <w:t>The product should optimize for a chain of observable behaviors: stop, understand, continue, complete, replay, and share. Retention is the first gate, but sharing is a separate outcome. Research on information gaps and curiosity supports opening a specific unresolved question, while field evidence on headlines shows that excessive vagueness can lose to clear summaries and that click response peaks at an intermediate level of concreteness.[1–3,6,7] Research on language simplicity supports short, familiar spoken wording.[8] Research on captions and redundant multimedia supports additive text, not a transcript of the spoken line.[9–12] Research on motion onset and human movement supports a narrow physical hypothesis: one natural movement beginning at the opening can attract the eye, but continuous fidgeting is not established as a retention tactic.[13–17]</w:t>
      </w:r>
    </w:p>
    <w:p>
      <w:r>
        <w:t>The operating rule is controlled orthogonality. The three layers should perform different jobs, but they should not belong to different stories. The spoken and on-screen hooks must both be traceable to the uploaded body video. The physical action should remain semantically neutral and easy to perform. This resolves the product brief’s requirement for independence without adding irrelevant information that can compete with comprehension.[P1–P3][9–11]</w:t>
      </w:r>
    </w:p>
    <w:p>
      <w:pPr>
        <w:pStyle w:val="Heading1"/>
      </w:pPr>
      <w:r>
        <w:t>Evidence standard</w:t>
      </w:r>
    </w:p>
    <w:p>
      <w:r>
        <w:t>This report uses three evidence labels.</w:t>
      </w:r>
    </w:p>
    <w:p>
      <w:pPr>
        <w:pStyle w:val="ListBullet"/>
      </w:pPr>
      <w:r>
        <w:rPr>
          <w:b/>
        </w:rPr>
        <w:t>Direct evidence</w:t>
      </w:r>
      <w:r>
        <w:t xml:space="preserve"> measures the target behavior or a close platform outcome, such as field click-through, sharing, or platform retention analytics.</w:t>
      </w:r>
    </w:p>
    <w:p>
      <w:pPr>
        <w:pStyle w:val="ListBullet"/>
      </w:pPr>
      <w:r>
        <w:rPr>
          <w:b/>
        </w:rPr>
        <w:t>Adjacent evidence</w:t>
      </w:r>
      <w:r>
        <w:t xml:space="preserve"> measures a mechanism that plausibly contributes to the target outcome, such as attention capture, memory, comprehension, or curiosity. It does not establish short-form virality.</w:t>
      </w:r>
    </w:p>
    <w:p>
      <w:pPr>
        <w:pStyle w:val="ListBullet"/>
      </w:pPr>
      <w:r>
        <w:rPr>
          <w:b/>
        </w:rPr>
        <w:t>Product hypothesis</w:t>
      </w:r>
      <w:r>
        <w:t xml:space="preserve"> is a testable application to Editmaxxing. It is a design decision until product data confirms it.</w:t>
      </w:r>
    </w:p>
    <w:p>
      <w:r>
        <w:t>The evidence base has important boundaries. Most peer-reviewed research isolates one cue in articles, laboratory displays, instructional video, or television. TikTok evidence is mostly advertising research commissioned or reported by the platform, and its underlying datasets are not always public. YouTube’s guidance describes operational metrics rather than controlled causal studies.[18–21] “Virality” also combines multiple mechanisms: exposure, initial retention, completion, replay, engagement, sharing, network structure, and distribution. A cue that wins a first-second hold test can still lose completion or trust. External literature alone is insufficient to rank hook patterns for Editmaxxing’s creators; it supplies priors and mechanisms that must be tested against organic posts and first-party creator analytics.</w:t>
      </w:r>
    </w:p>
    <w:p>
      <w:pPr>
        <w:pStyle w:val="Heading1"/>
      </w:pPr>
      <w:r>
        <w:t>Field evidence hierarchy</w:t>
      </w:r>
    </w:p>
    <w:p>
      <w:r>
        <w:t>Editmaxxing should rank evidence by the decision it can support, not by how authoritative it sounds.</w:t>
      </w:r>
    </w:p>
    <w:p>
      <w:pPr>
        <w:ind w:left="346" w:hanging="346"/>
      </w:pPr>
      <w:r>
        <w:t xml:space="preserve">1.  </w:t>
      </w:r>
      <w:r>
        <w:rPr>
          <w:b/>
        </w:rPr>
        <w:t>Own randomized real-video tests — highest causal and action value.</w:t>
      </w:r>
      <w:r>
        <w:t xml:space="preserve"> Random assignment of eligible videos or viewers to controlled hook variants provides the clearest estimate of whether a layer changes a defined metric for Editmaxxing’s population. Pre-register the primary metric and stopping rule; repeated informal checking can inflate false positives.[28,29]</w:t>
      </w:r>
    </w:p>
    <w:p>
      <w:pPr>
        <w:ind w:left="346" w:hanging="346"/>
      </w:pPr>
      <w:r>
        <w:t xml:space="preserve">2.  </w:t>
      </w:r>
      <w:r>
        <w:rPr>
          <w:b/>
        </w:rPr>
        <w:t>Outcome-labeled organic short-form corpus — highest ecological pattern value.</w:t>
      </w:r>
      <w:r>
        <w:t xml:space="preserve"> Reels, TikToks, and Shorts show what creators actually published in live feeds. Matched comparisons within the same creator, topic, format, duration band, and posting period reduce some confounding, but distribution, audience state, sound, body content, cover, timing, and luck remain bundled. Corpus findings generate candidates; they do not prove that the hook caused the outcome.</w:t>
      </w:r>
    </w:p>
    <w:p>
      <w:pPr>
        <w:ind w:left="346" w:hanging="346"/>
      </w:pPr>
      <w:r>
        <w:t xml:space="preserve">3.  </w:t>
      </w:r>
      <w:r>
        <w:rPr>
          <w:b/>
        </w:rPr>
        <w:t>Primary creator interviews, breakdowns, and analytics — practitioner evidence.</w:t>
      </w:r>
      <w:r>
        <w:t xml:space="preserve"> MrBeast describes retention as both an overarching narrative problem and a moment-by-moment problem, with more effort required near the front of a video.[30] Ali Abdaal recommends designing the opening deliberately and using creator retention graphs to locate drop-offs, while warning that small samples are noisy.[31] His published retention screenshots provide first-party examples of channel analytics, but they concern long-form videos and monetization, not controlled short-form hook tests.[32] These accounts reveal operating practice and useful variables; creator success does not make every stated rule causal or portable.</w:t>
      </w:r>
    </w:p>
    <w:p>
      <w:pPr>
        <w:ind w:left="346" w:hanging="346"/>
      </w:pPr>
      <w:r>
        <w:t xml:space="preserve">4.  </w:t>
      </w:r>
      <w:r>
        <w:rPr>
          <w:b/>
        </w:rPr>
        <w:t>Official platform data and guidance — measurement and constraint evidence.</w:t>
      </w:r>
      <w:r>
        <w:t xml:space="preserve"> Platform documentation is strongest for metric definitions, interface behavior, safe areas, and platform-reported studies. It can guide instrumentation, but advertising findings and recommendation guidance should not be treated as universal organic laws.[18–21]</w:t>
      </w:r>
    </w:p>
    <w:p>
      <w:pPr>
        <w:ind w:left="346" w:hanging="346"/>
      </w:pPr>
      <w:r>
        <w:t xml:space="preserve">5.  </w:t>
      </w:r>
      <w:r>
        <w:rPr>
          <w:b/>
        </w:rPr>
        <w:t>Psychology and mechanism literature — prior-setting evidence.</w:t>
      </w:r>
      <w:r>
        <w:t xml:space="preserve"> Curiosity, fluency, self-reference, multimedia load, gaze, and motion studies explain why a candidate could work and where it could fail. They rarely test short-form creator videos, so they should shape generation and rejection rules without settling product rankings.</w:t>
      </w:r>
    </w:p>
    <w:p>
      <w:r>
        <w:t>This hierarchy is an evidence-informed product policy. A lower tier can inspire a hypothesis, but only higher-ecology or higher-causal evidence should promote it into a default.</w:t>
      </w:r>
    </w:p>
    <w:p>
      <w:pPr>
        <w:pStyle w:val="Heading2"/>
      </w:pPr>
      <w:r>
        <w:t>Citable viral-hook corpus protocol</w:t>
      </w:r>
    </w:p>
    <w:p>
      <w:r>
        <w:t>Build a versioned dataset of public organic posts and creator-authorized analytics. “Viral” should mean an outcome relative to that creator’s normal performance at a fixed post age, not a universal raw-view threshold. Each record should preserve the public citation and the exact observation time.</w:t>
      </w:r>
    </w:p>
    <w:tbl>
      <w:tblPr>
        <w:tblW w:type="auto" w:w="0"/>
        <w:jc w:val="left"/>
        <w:tblLayout w:type="fixed"/>
        <w:tblLook w:firstColumn="1" w:firstRow="1" w:lastColumn="0" w:lastRow="0" w:noHBand="0" w:noVBand="1" w:val="04A0"/>
      </w:tblPr>
      <w:tblGrid>
        <w:gridCol w:w="5026"/>
        <w:gridCol w:w="5026"/>
      </w:tblGrid>
      <w:tr>
        <w:trPr>
          <w:tblHeade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Field</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Required capture</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Stable citation</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Canonical post URL, platform post ID, creator handle, and platform</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Publication context</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Post date and time, observable language or region, organic or sponsored status, and snapshot date and time</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Creator baseline</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Median and distribution of views for a declared prior-post window, plus follower count at the snapshot when available</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Outcome snapshot</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Views and visible likes, comments, shares, and saves where the platform exposes them; use the same post-age window across comparisons</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First-party analytics</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Creator-authorized one-, three-, and six-second retention, completion, average watch time, rewatches, and traffic source when available</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Opening record</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Timestamped 0–3 second and 0–6 second verbal transcript, exact on-screen text, visible body action, camera change, and audio onset</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Video attributes</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Total duration, topic, format, body premise, cover or title, sound, and visible editing pattern</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Evidence trace</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Frame or transcript timestamp supporting every coded hook feature and, when permitted, an archived metadata snapshot</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Matched controls</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URLs for same-creator posts matched on topic, format, duration band, audience era, and posting window; record every matching decision</w:t>
            </w:r>
          </w:p>
        </w:tc>
      </w:tr>
      <w:tr>
        <w:trPr>
          <w:cantSplit/>
        </w:trPr>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Coding provenance</w:t>
            </w:r>
          </w:p>
        </w:tc>
        <w:tc>
          <w:tcPr>
            <w:tcW w:type="dxa" w:w="5026"/>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Coder, coding date, schema version, ambiguity flag, and second-coder agreement for subjective labels</w:t>
            </w:r>
          </w:p>
        </w:tc>
      </w:tr>
    </w:tbl>
    <w:p>
      <w:pPr>
        <w:spacing w:after="40" w:line="48" w:lineRule="auto"/>
      </w:pPr>
    </w:p>
    <w:p>
      <w:r>
        <w:t>For analysis, report both raw outcomes and within-creator standardized outcomes. Estimate patterns separately by platform, creator size, topic, and format before pooling. Never attribute a high-performing post to its verbal, text, or physical hook when those layers changed together. Use corpus associations to nominate variants for randomized tests, and preserve negative and ordinary-performing examples to avoid survivor bias. Public engagement counts are volatile and platform definitions differ, so every table, figure, and example must carry a snapshot date and metric definition. If a creator shares a private retention graph, cite the creator, video URL, metric window, and permission status; label the result practitioner evidence unless the variant was randomized.</w:t>
      </w:r>
    </w:p>
    <w:p>
      <w:pPr>
        <w:pStyle w:val="Heading1"/>
      </w:pPr>
      <w:r>
        <w:t>What the evidence supports</w:t>
      </w:r>
    </w:p>
    <w:p>
      <w:pPr>
        <w:pStyle w:val="Heading2"/>
      </w:pPr>
      <w:r>
        <w:t>Curiosity needs a defined missing piece</w:t>
      </w:r>
    </w:p>
    <w:p>
      <w:r>
        <w:t>Information-gap theory describes curiosity as attention to a gap between what a person knows and wants to know.[1] In experiments using trivia questions, higher curiosity predicted greater willingness to spend time or scarce tokens to obtain an answer and better later recall of surprising answers.[2] Neuroimaging and behavioral work also found better memory for sought information and incidental material encountered during high-curiosity states.[3] These studies support a specific open loop, such as naming an unusual cause while withholding which cause it is. They do not show that generic withholding such as “wait until the end” raises video retention.</w:t>
      </w:r>
    </w:p>
    <w:p>
      <w:r>
        <w:rPr>
          <w:b/>
        </w:rPr>
        <w:t>Evidence-informed product inference.</w:t>
      </w:r>
      <w:r>
        <w:t xml:space="preserve"> A hook should identify the shape of the missing information. “One setting caused the export failure” gives the viewer an object to resolve. “You will not believe what happened” withholds everything and supplies no reason to care. A deferred verbal hook should survive only when the body contains the downstream resolution span.[P1][1–3]</w:t>
      </w:r>
    </w:p>
    <w:p>
      <w:pPr>
        <w:pStyle w:val="Heading2"/>
      </w:pPr>
      <w:r>
        <w:t>Mystery has an optimum rather than a maximum</w:t>
      </w:r>
    </w:p>
    <w:p>
      <w:r>
        <w:t>A registered field analysis of 8,977 Upworthy headline experiments found that click response depended on baseline concreteness. More concrete wording helped when alternatives were very vague, while additional concreteness hurt among already concrete alternatives. The estimated optimum sat in the middle rather than at either extreme.[6] A separate lab-and-field program found that summary headlines outperformed at least some curiosity-style headlines because readers expected the article to provide clearer information.[7] Large field datasets from The Washington Post and Upworthy found greater engagement with simpler, more readable headlines.[8]</w:t>
      </w:r>
    </w:p>
    <w:p>
      <w:r>
        <w:rPr>
          <w:b/>
        </w:rPr>
        <w:t>Evidence-informed product inference.</w:t>
      </w:r>
      <w:r>
        <w:t xml:space="preserve"> The on-screen hook should create the largest mystery of the three layers, but it still needs an anchor: a named object, behavior, consequence, number, comparison, or reversal that appears in the body footage. “The habit that survived deleting 400 notes” creates a defined unresolved object. “This changed everything” does not. “I deleted 400 notes” resolves itself and opens no meaningful question.[P3][6–8]</w:t>
      </w:r>
    </w:p>
    <w:p>
      <w:pPr>
        <w:pStyle w:val="Heading2"/>
      </w:pPr>
      <w:r>
        <w:t>Arousal can support sharing but is not a hook formula</w:t>
      </w:r>
    </w:p>
    <w:p>
      <w:r>
        <w:t>An analysis of nearly 7,000 New York Times articles, with experiments on social transmission, found that high-arousal emotions such as awe, anger, and anxiety were associated with more sharing, while sadness was associated with less; the experiments supported a causal role for activation in willingness to transmit content.[4] A later study using German news and additional sharing channels found results broadly consistent with that account but did not replicate every original effect and reported a nonlinear relationship for positivity.[5]</w:t>
      </w:r>
    </w:p>
    <w:p>
      <w:r>
        <w:rPr>
          <w:b/>
        </w:rPr>
        <w:t>Evidence-informed product inference.</w:t>
      </w:r>
      <w:r>
        <w:t xml:space="preserve"> A verbal hook can surface a real reversal, consequence, confession, or surprising result already present in the footage. The generator should not inject anger, anxiety, or grandiosity into neutral material. Emotional intensity can affect sharing, but manufactured intensity creates an unsupported claim and may damage downstream trust. The evidence concerns articles and sharing behavior, not short-form opening retention.[4,5]</w:t>
      </w:r>
    </w:p>
    <w:p>
      <w:pPr>
        <w:pStyle w:val="Heading2"/>
      </w:pPr>
      <w:r>
        <w:t>Self-relevance helps memory but does not justify generic audience bait</w:t>
      </w:r>
    </w:p>
    <w:p>
      <w:r>
        <w:t>A meta-analysis of 129 self-reference studies found that relating material to the self improved memory relative to semantic and other-reference encoding, largely through richer organization and elaboration.[22] This is adjacent evidence for precise audience callouts, not proof that second-person pronouns create viral videos.</w:t>
      </w:r>
    </w:p>
    <w:p>
      <w:r>
        <w:rPr>
          <w:b/>
        </w:rPr>
        <w:t>Evidence-informed product inference.</w:t>
      </w:r>
      <w:r>
        <w:t xml:space="preserve"> Use a viewer callout only when the body names a recognizable behavior, condition, or task. “If you reopen the same draft every morning” is testable against a transcript. “Creators, stop scrolling” is broad interruption language without specific self-recognition.[P1][22]</w:t>
      </w:r>
    </w:p>
    <w:p>
      <w:pPr>
        <w:pStyle w:val="Heading2"/>
      </w:pPr>
      <w:r>
        <w:t>Spoken simplicity reduces processing cost</w:t>
      </w:r>
    </w:p>
    <w:p>
      <w:r>
        <w:t>Across more than 30,000 randomized headline experiments and follow-up studies, readers clicked and remembered simpler headlines more than linguistically complex alternatives.[8] Perceptual-fluency experiments also found that easier-to-process stimuli produced more positive evaluations, although those experiments did not test speech or social video.[23]</w:t>
      </w:r>
    </w:p>
    <w:p>
      <w:r>
        <w:rPr>
          <w:b/>
        </w:rPr>
        <w:t>Evidence-informed product inference.</w:t>
      </w:r>
      <w:r>
        <w:t xml:space="preserve"> Keep the verbal hook to one or two short sentences using familiar words, concrete nouns, contractions, and one main turn. Read it aloud at natural pace before presenting it to the creator. Reject lines that require breathless delivery, multiple subordinate clauses, or written-only punctuation. The current product constraint bans exclamation marks; this is a voice and render rule, not a proven virality mechanism.[P3][8,23]</w:t>
      </w:r>
    </w:p>
    <w:p>
      <w:pPr>
        <w:pStyle w:val="Heading1"/>
      </w:pPr>
      <w:r>
        <w:t>Verbal hook rules</w:t>
      </w:r>
    </w:p>
    <w:p>
      <w:pPr>
        <w:pStyle w:val="Heading2"/>
      </w:pPr>
      <w:r>
        <w:t>Required structure</w:t>
      </w:r>
    </w:p>
    <w:p>
      <w:r>
        <w:t>The verbal hook should do two things within one short take. Its first sentence names the subject or target behavior. Its second sentence, if present, adds one tension, reversal, consequence, or verifiable promise. Both statements must map to evidence spans in the body transcript.[P1]</w:t>
      </w:r>
    </w:p>
    <w:p>
      <w:r>
        <w:t>Acceptable mechanisms include contradiction, timeframe tension, a specific behavior callout, belief inversion, a grounded confession, a concrete cost, or a named unknown. These are candidate mechanisms, not ranked universal truths. The generator should select among them based on the body transcript’s available stance, pain, outcome, reversal, and quantity signals.[P1]</w:t>
      </w:r>
    </w:p>
    <w:p>
      <w:r>
        <w:t>The verbal line should usually carry the clearest orientation of the three layers. This follows YouTube’s guidance that the opening should quickly deliver the value promised by packaging, and TikTok’s advertising guidance that the opening precedes the body and close.[18,20,21] Platform guidance confirms that early attention matters, but it does not validate a single universal duration for organic posts.</w:t>
      </w:r>
    </w:p>
    <w:p>
      <w:pPr>
        <w:pStyle w:val="Heading2"/>
      </w:pPr>
      <w:r>
        <w:t>Verbal generation rules</w:t>
      </w:r>
    </w:p>
    <w:p>
      <w:pPr>
        <w:ind w:left="346" w:hanging="346"/>
      </w:pPr>
      <w:r>
        <w:t xml:space="preserve">1.  </w:t>
      </w:r>
      <w:r>
        <w:t>Extract candidate evidence spans before writing.</w:t>
      </w:r>
    </w:p>
    <w:p>
      <w:pPr>
        <w:ind w:left="346" w:hanging="346"/>
      </w:pPr>
      <w:r>
        <w:t xml:space="preserve">2.  </w:t>
      </w:r>
      <w:r>
        <w:t>Select one primary mechanism that the transcript can support.</w:t>
      </w:r>
    </w:p>
    <w:p>
      <w:pPr>
        <w:ind w:left="346" w:hanging="346"/>
      </w:pPr>
      <w:r>
        <w:t xml:space="preserve">3.  </w:t>
      </w:r>
      <w:r>
        <w:t>Name the topic or behavior in the first sentence.</w:t>
      </w:r>
    </w:p>
    <w:p>
      <w:pPr>
        <w:ind w:left="346" w:hanging="346"/>
      </w:pPr>
      <w:r>
        <w:t xml:space="preserve">4.  </w:t>
      </w:r>
      <w:r>
        <w:t>Add only one second-beat function: deepen, promise, or defer.</w:t>
      </w:r>
    </w:p>
    <w:p>
      <w:pPr>
        <w:ind w:left="346" w:hanging="346"/>
      </w:pPr>
      <w:r>
        <w:t xml:space="preserve">5.  </w:t>
      </w:r>
      <w:r>
        <w:t>Reuse one key noun across the seam when there are two sentences.</w:t>
      </w:r>
    </w:p>
    <w:p>
      <w:pPr>
        <w:ind w:left="346" w:hanging="346"/>
      </w:pPr>
      <w:r>
        <w:t xml:space="preserve">6.  </w:t>
      </w:r>
      <w:r>
        <w:t>Keep the line to one or two short sentences and a natural spoken pace.[P1,P3][8]</w:t>
      </w:r>
    </w:p>
    <w:p>
      <w:pPr>
        <w:ind w:left="346" w:hanging="346"/>
      </w:pPr>
      <w:r>
        <w:t xml:space="preserve">7.  </w:t>
      </w:r>
      <w:r>
        <w:t>Use no exclamation marks.[P3]</w:t>
      </w:r>
    </w:p>
    <w:p>
      <w:pPr>
        <w:ind w:left="346" w:hanging="346"/>
      </w:pPr>
      <w:r>
        <w:t xml:space="preserve">8.  </w:t>
      </w:r>
      <w:r>
        <w:t>Store the transcript span that supports every noun, number, outcome, and causal statement.[P1]</w:t>
      </w:r>
    </w:p>
    <w:p>
      <w:pPr>
        <w:ind w:left="346" w:hanging="346"/>
      </w:pPr>
      <w:r>
        <w:t xml:space="preserve">9.  </w:t>
      </w:r>
      <w:r>
        <w:t>For a deferred explanation, store the downstream payoff span before the hook can ship.[P1]</w:t>
      </w:r>
    </w:p>
    <w:p>
      <w:pPr>
        <w:ind w:left="346" w:hanging="346"/>
      </w:pPr>
      <w:r>
        <w:t xml:space="preserve">10.  </w:t>
      </w:r>
      <w:r>
        <w:t>Explain the recommendation assertively as a mechanism, such as “This works by naming the exact mistake and withholding its cause,” while keeping outcome claims probabilistic.[P3][1–3]</w:t>
      </w:r>
    </w:p>
    <w:p>
      <w:pPr>
        <w:pStyle w:val="Heading2"/>
      </w:pPr>
      <w:r>
        <w:t>Verbal rejection rules</w:t>
      </w:r>
    </w:p>
    <w:p>
      <w:r>
        <w:t>Reject a candidate if it invents a result, number, opinion, cause, status claim, or superlative absent from the body. Reject a question with a one-word answer, a generic “wait for it,” a line that could introduce any video, or a promise whose payoff was cut. Reject a two-sentence hook when the second sentence merely paraphrases the first. Reject wording that sounds like a headline rather than something the creator would say aloud.[P1][1,6–8]</w:t>
      </w:r>
    </w:p>
    <w:p>
      <w:r>
        <w:t>Do not select a line solely because it sounds emotionally intense. Arousal has evidence for social transmission, but the later replication was not exact, and neither study establishes that fabricated emotion improves short-video retention.[4,5]</w:t>
      </w:r>
    </w:p>
    <w:p>
      <w:pPr>
        <w:pStyle w:val="Heading1"/>
      </w:pPr>
      <w:r>
        <w:t>On-screen text hook rules</w:t>
      </w:r>
    </w:p>
    <w:p>
      <w:pPr>
        <w:pStyle w:val="Heading2"/>
      </w:pPr>
      <w:r>
        <w:t>The text should add a second reason to continue</w:t>
      </w:r>
    </w:p>
    <w:p>
      <w:r>
        <w:t>On-screen text can increase access to the message. A meta-analysis of 18 second-language video studies found large average effects of same-language captions on listening comprehension and vocabulary learning.[12] An eye-tracking experiment found that viewers could process subtitles while retaining film comprehension and recognition in the tested excerpt.[24] TikTok reports that text overlays are common in ads and associates early text with some advertising outcomes, but the reported results are vertical-, region-, and campaign-specific rather than universal organic effects.[19–21]</w:t>
      </w:r>
    </w:p>
    <w:p>
      <w:r>
        <w:t>The strongest evidence against duplication comes from multimedia learning. Experiments found that presenting identical written and spoken explanations can add load and reduce learning under some conditions, while concise on-screen keywords placed near relevant graphics can improve retention.[9–11] These outcomes are not social-video metrics, but they support a practical distinction between additive text and verbatim captions.</w:t>
      </w:r>
    </w:p>
    <w:p>
      <w:r>
        <w:rPr>
          <w:b/>
        </w:rPr>
        <w:t>Evidence-informed product inference.</w:t>
      </w:r>
      <w:r>
        <w:t xml:space="preserve"> The on-screen hook should not transcribe the verbal hook. It should add a different unresolved claim, consequence, scope, or exception that the body can resolve. The text and speech should converge on the same body video while creating separate routes into it.[P3][6–12]</w:t>
      </w:r>
    </w:p>
    <w:p>
      <w:pPr>
        <w:pStyle w:val="Heading2"/>
      </w:pPr>
      <w:r>
        <w:t>Mystery and claim strength</w:t>
      </w:r>
    </w:p>
    <w:p>
      <w:r>
        <w:t>The on-screen hook should carry the strongest mystery or most outlandish defensible claim in the stack.[P3] “Outlandish” means surprising relative to the audience’s likely expectation, not stronger than the source evidence. Every factual component must map to the transcript or another approved body-video signal. If the body says a workflow took three hours, the text can frame “The three-hour step was the one I refused to automate.” It cannot claim the workflow “wasted a year” unless that figure appears in the source footage.</w:t>
      </w:r>
    </w:p>
    <w:p>
      <w:r>
        <w:t>Aim for enough information to form a specific question, generally one or two visual lines rather than a six-word universal cap.[P3] Readability and processing time should determine the final character limit through testing; research shows both that simple wording attracts more clicks and that headline concreteness has a nonlinear relationship with clicks.[6,8] Longer text must remain linguistically simple.</w:t>
      </w:r>
    </w:p>
    <w:p>
      <w:pPr>
        <w:pStyle w:val="Heading2"/>
      </w:pPr>
      <w:r>
        <w:t>On-screen generation rules</w:t>
      </w:r>
    </w:p>
    <w:p>
      <w:pPr>
        <w:ind w:left="346" w:hanging="346"/>
      </w:pPr>
      <w:r>
        <w:t xml:space="preserve">1.  </w:t>
      </w:r>
      <w:r>
        <w:t>Generate text only after the verbal hook has a defined job.</w:t>
      </w:r>
    </w:p>
    <w:p>
      <w:pPr>
        <w:ind w:left="346" w:hanging="346"/>
      </w:pPr>
      <w:r>
        <w:t xml:space="preserve">2.  </w:t>
      </w:r>
      <w:r>
        <w:t>Choose one different job: specify, create tension, state the stakes, or orient a late-arriving viewer.[P1]</w:t>
      </w:r>
    </w:p>
    <w:p>
      <w:pPr>
        <w:ind w:left="346" w:hanging="346"/>
      </w:pPr>
      <w:r>
        <w:t xml:space="preserve">3.  </w:t>
      </w:r>
      <w:r>
        <w:t>Use at least one concrete anchor from the body: a tool, task, behavior, number, result, or constraint.[P1][6]</w:t>
      </w:r>
    </w:p>
    <w:p>
      <w:pPr>
        <w:ind w:left="346" w:hanging="346"/>
      </w:pPr>
      <w:r>
        <w:t xml:space="preserve">4.  </w:t>
      </w:r>
      <w:r>
        <w:t>Leave one meaningful variable unresolved.[1–3]</w:t>
      </w:r>
    </w:p>
    <w:p>
      <w:pPr>
        <w:ind w:left="346" w:hanging="346"/>
      </w:pPr>
      <w:r>
        <w:t xml:space="preserve">5.  </w:t>
      </w:r>
      <w:r>
        <w:t>Prefer common words and clean syntax.[8]</w:t>
      </w:r>
    </w:p>
    <w:p>
      <w:pPr>
        <w:ind w:left="346" w:hanging="346"/>
      </w:pPr>
      <w:r>
        <w:t xml:space="preserve">6.  </w:t>
      </w:r>
      <w:r>
        <w:t>Keep the text visually stable long enough to read and reserve safe space for platform interface elements.[20]</w:t>
      </w:r>
    </w:p>
    <w:p>
      <w:pPr>
        <w:ind w:left="346" w:hanging="346"/>
      </w:pPr>
      <w:r>
        <w:t xml:space="preserve">7.  </w:t>
      </w:r>
      <w:r>
        <w:t>Preserve any hedge used in the footage. Do not turn “helped me” into “will fix you.”[P1]</w:t>
      </w:r>
    </w:p>
    <w:p>
      <w:pPr>
        <w:ind w:left="346" w:hanging="346"/>
      </w:pPr>
      <w:r>
        <w:t xml:space="preserve">8.  </w:t>
      </w:r>
      <w:r>
        <w:t>Treat a persistent topic label as a separate element from the opening hook text.[P1]</w:t>
      </w:r>
    </w:p>
    <w:p>
      <w:pPr>
        <w:ind w:left="346" w:hanging="346"/>
      </w:pPr>
      <w:r>
        <w:t xml:space="preserve">9.  </w:t>
      </w:r>
      <w:r>
        <w:t>Use no exclamation marks.[P3]</w:t>
      </w:r>
    </w:p>
    <w:p>
      <w:pPr>
        <w:ind w:left="346" w:hanging="346"/>
      </w:pPr>
      <w:r>
        <w:t xml:space="preserve">10.  </w:t>
      </w:r>
      <w:r>
        <w:t>Store both a claim-evidence span and, for deferred claims, a payoff span.[P1]</w:t>
      </w:r>
    </w:p>
    <w:p>
      <w:pPr>
        <w:pStyle w:val="Heading2"/>
      </w:pPr>
      <w:r>
        <w:t>On-screen rejection rules</w:t>
      </w:r>
    </w:p>
    <w:p>
      <w:r>
        <w:t>Reject text that repeats the spoken line, contains no concrete anchor, fully resolves its own claim, or introduces an unrelated story. Reject a sensational claim that the body merely implies but never supports. Reject text dense enough to compete with the creator’s face or the body action. Reject a generic direct address such as “You need to see this.” Reject early text that promises a different value than the video delivers; YouTube explicitly connects strong intro retention with matching the expectation set by the title and thumbnail.[18,21]</w:t>
      </w:r>
    </w:p>
    <w:p>
      <w:pPr>
        <w:pStyle w:val="Heading1"/>
      </w:pPr>
      <w:r>
        <w:t>Physical hook rules</w:t>
      </w:r>
    </w:p>
    <w:p>
      <w:pPr>
        <w:pStyle w:val="Heading2"/>
      </w:pPr>
      <w:r>
        <w:t>What the evidence actually shows</w:t>
      </w:r>
    </w:p>
    <w:p>
      <w:r>
        <w:t>In controlled visual-search tasks, the onset of motion captured attention even when motion was not informative, while continuous movement alone did not produce the same result.[13] Translating and looming stimuli also received attentional priority, although receding stimuli did not.[14] In an eye-tracking study, natural human body motion held attention more than machine-like motion and produced changes in pupil size.[15] Direct gaze delayed attentional disengagement in controlled face-viewing tasks.[16]</w:t>
      </w:r>
    </w:p>
    <w:p>
      <w:r>
        <w:t>These studies establish momentary visual-attention effects under laboratory conditions. They do not compare hair touching, knuckle cracking, nail movement, lip movement, or hand gestures in creator videos. They do not establish higher completion, sharing, or organic reach. Physical hooks must therefore remain an optional product hypothesis rather than a promised virality feature.</w:t>
      </w:r>
    </w:p>
    <w:p>
      <w:pPr>
        <w:pStyle w:val="Heading2"/>
      </w:pPr>
      <w:r>
        <w:t>Physical generation rules</w:t>
      </w:r>
    </w:p>
    <w:p>
      <w:pPr>
        <w:ind w:left="346" w:hanging="346"/>
      </w:pPr>
      <w:r>
        <w:t xml:space="preserve">1.  </w:t>
      </w:r>
      <w:r>
        <w:t>Use only the body. No props.[P3]</w:t>
      </w:r>
    </w:p>
    <w:p>
      <w:pPr>
        <w:ind w:left="346" w:hanging="346"/>
      </w:pPr>
      <w:r>
        <w:t xml:space="preserve">2.  </w:t>
      </w:r>
      <w:r>
        <w:t>Choose one movement that begins clearly and ends quickly, such as cracking knuckles, adjusting hair once, tracing a fingertip across the opposite palm, tapping nails together once, rolling the shoulders, or moving one hand into frame.[P3][13–15]</w:t>
      </w:r>
    </w:p>
    <w:p>
      <w:pPr>
        <w:ind w:left="346" w:hanging="346"/>
      </w:pPr>
      <w:r>
        <w:t xml:space="preserve">3.  </w:t>
      </w:r>
      <w:r>
        <w:t>Keep the movement easy to perform while speaking.</w:t>
      </w:r>
    </w:p>
    <w:p>
      <w:pPr>
        <w:ind w:left="346" w:hanging="346"/>
      </w:pPr>
      <w:r>
        <w:t xml:space="preserve">4.  </w:t>
      </w:r>
      <w:r>
        <w:t>Keep it semantically neutral so it stays attached to the verbal take across text combinations.[P3]</w:t>
      </w:r>
    </w:p>
    <w:p>
      <w:pPr>
        <w:ind w:left="346" w:hanging="346"/>
      </w:pPr>
      <w:r>
        <w:t xml:space="preserve">5.  </w:t>
      </w:r>
      <w:r>
        <w:t>Do not explain the physical action in the recommendation interface.[P3]</w:t>
      </w:r>
    </w:p>
    <w:p>
      <w:pPr>
        <w:ind w:left="346" w:hanging="346"/>
      </w:pPr>
      <w:r>
        <w:t xml:space="preserve">6.  </w:t>
      </w:r>
      <w:r>
        <w:t>Make physical hooks optional at the project level.[P3]</w:t>
      </w:r>
    </w:p>
    <w:p>
      <w:pPr>
        <w:ind w:left="346" w:hanging="346"/>
      </w:pPr>
      <w:r>
        <w:t xml:space="preserve">7.  </w:t>
      </w:r>
      <w:r>
        <w:t>Use direct-to-camera gaze as the default unless the chosen movement naturally requires a brief glance away.[16]</w:t>
      </w:r>
    </w:p>
    <w:p>
      <w:r>
        <w:t xml:space="preserve">Meaningful pointing is a separate case. Experiments in video lectures found that specific pointing toward referenced content improved visual search and learning, while gaze alone did not produce the same benefit.[25] Another experiment found that beat gestures and head nods interacted with visual complexity, with benefits in simpler but not more complex material.[26] </w:t>
      </w:r>
      <w:r>
        <w:rPr>
          <w:b/>
        </w:rPr>
        <w:t>Product inference:</w:t>
      </w:r>
      <w:r>
        <w:t xml:space="preserve"> allow pointing only when there is an actual on-screen target. Do not convert generic hand-waving into a physical-hook category.[25,26]</w:t>
      </w:r>
    </w:p>
    <w:p>
      <w:pPr>
        <w:pStyle w:val="Heading2"/>
      </w:pPr>
      <w:r>
        <w:t>Physical rejection rules</w:t>
      </w:r>
    </w:p>
    <w:p>
      <w:r>
        <w:t>Reject props, multi-step choreography, gestures that cover the face or text, continuous fidgeting, movements that look unsafe, or actions that change the meaning of the spoken claim. Reject a motion because it is trendy unless it also passes the performance constraints. Motion can capture attention, but more motion is not automatically better, and complex visual material can reduce the benefit of added gestures.[13,17,26]</w:t>
      </w:r>
    </w:p>
    <w:p>
      <w:pPr>
        <w:pStyle w:val="Heading1"/>
      </w:pPr>
      <w:r>
        <w:t>Interaction among the three layers</w:t>
      </w:r>
    </w:p>
    <w:p>
      <w:pPr>
        <w:pStyle w:val="Heading2"/>
      </w:pPr>
      <w:r>
        <w:t>Controlled orthogonality</w:t>
      </w:r>
    </w:p>
    <w:p>
      <w:r>
        <w:t>The product brief requires the spoken hook and on-screen hook to be derived from the uploaded body video while remaining tangential rather than repetitive. It also requires a zero-prop physical hook that is semantically independent.[P3] The research supports differentiating channel roles, but it warns against complete thematic irrelevance. Redundant text can overload processing, while interesting but irrelevant additions can impair retention and transfer in multimedia learning.[9–11,17]</w:t>
      </w:r>
    </w:p>
    <w:p>
      <w:r>
        <w:t>The resulting rule is controlled orthogonality:</w:t>
      </w:r>
    </w:p>
    <w:p>
      <w:pPr>
        <w:pStyle w:val="ListBullet"/>
      </w:pPr>
      <w:r>
        <w:rPr>
          <w:b/>
        </w:rPr>
        <w:t>Same source:</w:t>
      </w:r>
      <w:r>
        <w:t xml:space="preserve"> verbal and text claims point to evidence in the same body video.</w:t>
      </w:r>
    </w:p>
    <w:p>
      <w:pPr>
        <w:pStyle w:val="ListBullet"/>
      </w:pPr>
      <w:r>
        <w:rPr>
          <w:b/>
        </w:rPr>
        <w:t>Different questions:</w:t>
      </w:r>
      <w:r>
        <w:t xml:space="preserve"> the spoken line and text line should not have the same semantic answer.</w:t>
      </w:r>
    </w:p>
    <w:p>
      <w:pPr>
        <w:pStyle w:val="ListBullet"/>
      </w:pPr>
      <w:r>
        <w:rPr>
          <w:b/>
        </w:rPr>
        <w:t>Neutral motion:</w:t>
      </w:r>
      <w:r>
        <w:t xml:space="preserve"> the physical action creates onset without adding a third proposition.</w:t>
      </w:r>
    </w:p>
    <w:p>
      <w:pPr>
        <w:pStyle w:val="ListBullet"/>
      </w:pPr>
      <w:r>
        <w:rPr>
          <w:b/>
        </w:rPr>
        <w:t>One promise:</w:t>
      </w:r>
      <w:r>
        <w:t xml:space="preserve"> all layers must lead into the same body and preserve the same factual contract.</w:t>
      </w:r>
    </w:p>
    <w:p>
      <w:r>
        <w:t>This rule is an evidence-informed product inference. It has not been tested directly in a short-form feed.</w:t>
      </w:r>
    </w:p>
    <w:p>
      <w:pPr>
        <w:pStyle w:val="Heading2"/>
      </w:pPr>
      <w:r>
        <w:t>Layer contract</w:t>
      </w:r>
    </w:p>
    <w:tbl>
      <w:tblPr>
        <w:tblW w:type="auto" w:w="0"/>
        <w:jc w:val="left"/>
        <w:tblLayout w:type="fixed"/>
        <w:tblLook w:firstColumn="1" w:firstRow="1" w:lastColumn="0" w:lastRow="0" w:noHBand="0" w:noVBand="1" w:val="04A0"/>
      </w:tblPr>
      <w:tblGrid>
        <w:gridCol w:w="2513"/>
        <w:gridCol w:w="2513"/>
        <w:gridCol w:w="2513"/>
        <w:gridCol w:w="2513"/>
      </w:tblGrid>
      <w:tr>
        <w:trPr>
          <w:tblHeade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Layer</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Primary job</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Required evidence</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Must remain independent from</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Verbal</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Orient and create immediate tension</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Transcript claim span and any promised payoff span</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On-screen wording and physical action</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On-screen</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Add the largest mystery or strongest defensible claim</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Transcript or approved body-video evidence span</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Verbal proposition</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Physical</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Create a brief visual onset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Performance constraint only</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Semantic content of verbal and text hooks</w:t>
            </w:r>
          </w:p>
        </w:tc>
      </w:tr>
    </w:tbl>
    <w:p>
      <w:pPr>
        <w:spacing w:after="40" w:line="48" w:lineRule="auto"/>
      </w:pPr>
    </w:p>
    <w:p>
      <w:r>
        <w:t>The physical action stays with its verbal take in every exported combination, while on-screen hooks can be mixed independently.[P3] If a creator selects two verbal takes and three text hooks, the system can produce six combinations, provided every text hook is valid for the same body video.[P3]</w:t>
      </w:r>
    </w:p>
    <w:p>
      <w:pPr>
        <w:pStyle w:val="Heading1"/>
      </w:pPr>
      <w:r>
        <w:t>Product implementation rules</w:t>
      </w:r>
    </w:p>
    <w:p>
      <w:pPr>
        <w:pStyle w:val="Heading2"/>
      </w:pPr>
      <w:r>
        <w:t>Evidence objects</w:t>
      </w:r>
    </w:p>
    <w:p>
      <w:r>
        <w:t>Each generated verbal or text candidate should carry a machine-readable evidence object:</w:t>
      </w:r>
    </w:p>
    <w:p>
      <w:pPr>
        <w:pStyle w:val="CodeBlock"/>
      </w:pPr>
      <w:r>
        <w:t>{</w:t>
        <w:br/>
        <w:t xml:space="preserve">  "claim_text": "The three-hour step was the one I refused to automate.",</w:t>
        <w:br/>
        <w:t xml:space="preserve">  "job": "TENSION",</w:t>
        <w:br/>
        <w:t xml:space="preserve">  "evidence_spans": [</w:t>
        <w:br/>
        <w:t xml:space="preserve">    {"start_ms": 18200, "end_ms": 23800, "text": "this part used to take me three hours"},</w:t>
        <w:br/>
        <w:t xml:space="preserve">    {"start_ms": 41100, "end_ms": 46200, "text": "I kept refusing to automate it"}</w:t>
        <w:br/>
        <w:t xml:space="preserve">  ],</w:t>
        <w:br/>
        <w:t xml:space="preserve">  "payoff_span": {"start_ms": 61500, "end_ms": 70200},</w:t>
        <w:br/>
        <w:t xml:space="preserve">  "unsupported_terms": []</w:t>
        <w:br/>
        <w:t>}</w:t>
      </w:r>
    </w:p>
    <w:p>
      <w:r>
        <w:t>This implements the body-first architecture in the product notes: hooks are generated from footage that already exists, so claims can be checked against recorded evidence.[P1,P2]</w:t>
      </w:r>
    </w:p>
    <w:p>
      <w:pPr>
        <w:pStyle w:val="Heading2"/>
      </w:pPr>
      <w:r>
        <w:t>Recommendation reasons</w:t>
      </w:r>
    </w:p>
    <w:p>
      <w:r>
        <w:t>The interface should state a causal mechanism without claiming a guaranteed outcome. Use “Why it works” rather than “Why it may work,” then describe the designed mechanism: “This works by naming the exact cost and withholding the decision that caused it.” That sentence asserts what the hook is doing. It does not assert that the video will go viral.[P3][1–3]</w:t>
      </w:r>
    </w:p>
    <w:p>
      <w:r>
        <w:t>Avoid pseudo-precision. Do not display a percentage uplift unless it comes from an Editmaxxing experiment on the same metric, population, and content class. TikTok’s reported ad lifts do not transfer directly to organic creator videos.[19,20]</w:t>
      </w:r>
    </w:p>
    <w:p>
      <w:pPr>
        <w:pStyle w:val="Heading2"/>
      </w:pPr>
      <w:r>
        <w:t>Candidate scoring</w:t>
      </w:r>
    </w:p>
    <w:p>
      <w:r>
        <w:t>Score candidates on traceability, clarity, curiosity shape, nonredundancy, speakability, and payoff integrity. Apply traceability and payoff integrity as hard gates. Treat mechanism scores as priors to explore rather than truths. Large-scale headline research found that broad language advice does not always predict the direction of causal effects, which reinforces the need for product testing.[27]</w:t>
      </w:r>
    </w:p>
    <w:p>
      <w:r>
        <w:t>Suggested score fields:</w:t>
      </w:r>
    </w:p>
    <w:tbl>
      <w:tblPr>
        <w:tblW w:type="auto" w:w="0"/>
        <w:jc w:val="left"/>
        <w:tblLayout w:type="fixed"/>
        <w:tblLook w:firstColumn="1" w:firstRow="1" w:lastColumn="0" w:lastRow="0" w:noHBand="0" w:noVBand="1" w:val="04A0"/>
      </w:tblPr>
      <w:tblGrid>
        <w:gridCol w:w="3351"/>
        <w:gridCol w:w="3351"/>
        <w:gridCol w:w="3351"/>
      </w:tblGrid>
      <w:tr>
        <w:trPr>
          <w:tblHeade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Field</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Question</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Gate or rank</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Evidence coverage</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Can every claim be mapped to the body</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Hard gate</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Payoff integrity</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Does every promise resolve downstream</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Hard gate</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Verbal clarity</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Is the line easy to understand once at natural pace</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Rank</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Mystery shape</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Does the viewer know what is missing</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Rank</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Layer difference</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Does text add a different question from speech</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Rank</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Performance ease</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Can the creator say the line while doing the action</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Rank</w:t>
            </w:r>
          </w:p>
        </w:tc>
      </w:tr>
      <w:tr>
        <w:trPr>
          <w:cantSplit/>
        </w:trPr>
        <w:tc>
          <w:tcPr>
            <w:tcW w:type="dxa" w:w="2211"/>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Visual readability</w:t>
            </w:r>
          </w:p>
        </w:tc>
        <w:tc>
          <w:tcPr>
            <w:tcW w:type="dxa" w:w="432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Can the text be read within its display window</w:t>
            </w:r>
          </w:p>
        </w:tc>
        <w:tc>
          <w:tcPr>
            <w:tcW w:type="dxa" w:w="3518"/>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Hard gate after layout</w:t>
            </w:r>
          </w:p>
        </w:tc>
      </w:tr>
    </w:tbl>
    <w:p>
      <w:pPr>
        <w:spacing w:after="40" w:line="48" w:lineRule="auto"/>
      </w:pPr>
    </w:p>
    <w:p>
      <w:pPr>
        <w:pStyle w:val="Heading2"/>
      </w:pPr>
      <w:r>
        <w:t>Unified rejection rules</w:t>
      </w:r>
    </w:p>
    <w:p>
      <w:r>
        <w:t>Reject any stack that:</w:t>
      </w:r>
    </w:p>
    <w:p>
      <w:pPr>
        <w:pStyle w:val="ListBullet"/>
      </w:pPr>
      <w:r>
        <w:t>invents evidence or upgrades a hedge into certainty;</w:t>
      </w:r>
    </w:p>
    <w:p>
      <w:pPr>
        <w:pStyle w:val="ListBullet"/>
      </w:pPr>
      <w:r>
        <w:t>promises an answer absent from the retained edit;</w:t>
      </w:r>
    </w:p>
    <w:p>
      <w:pPr>
        <w:pStyle w:val="ListBullet"/>
      </w:pPr>
      <w:r>
        <w:t>uses unrelated text as a curiosity device;</w:t>
      </w:r>
    </w:p>
    <w:p>
      <w:pPr>
        <w:pStyle w:val="ListBullet"/>
      </w:pPr>
      <w:r>
        <w:t>repeats the same proposition across speech and text;</w:t>
      </w:r>
    </w:p>
    <w:p>
      <w:pPr>
        <w:pStyle w:val="ListBullet"/>
      </w:pPr>
      <w:r>
        <w:t>asks a one-word-answer question;</w:t>
      </w:r>
    </w:p>
    <w:p>
      <w:pPr>
        <w:pStyle w:val="ListBullet"/>
      </w:pPr>
      <w:r>
        <w:t>uses an exclamation mark;</w:t>
      </w:r>
    </w:p>
    <w:p>
      <w:pPr>
        <w:pStyle w:val="ListBullet"/>
      </w:pPr>
      <w:r>
        <w:t>exceeds one or two short spoken sentences;</w:t>
      </w:r>
    </w:p>
    <w:p>
      <w:pPr>
        <w:pStyle w:val="ListBullet"/>
      </w:pPr>
      <w:r>
        <w:t>requires a prop or difficult choreography;</w:t>
      </w:r>
    </w:p>
    <w:p>
      <w:pPr>
        <w:pStyle w:val="ListBullet"/>
      </w:pPr>
      <w:r>
        <w:t>explains the physical action to the user;</w:t>
      </w:r>
    </w:p>
    <w:p>
      <w:pPr>
        <w:pStyle w:val="ListBullet"/>
      </w:pPr>
      <w:r>
        <w:t>uses an outlandish claim that is not defensible from footage;</w:t>
      </w:r>
    </w:p>
    <w:p>
      <w:pPr>
        <w:pStyle w:val="ListBullet"/>
      </w:pPr>
      <w:r>
        <w:t>confuses attention, retention, sharing, and virality as interchangeable outcomes; or</w:t>
      </w:r>
    </w:p>
    <w:p>
      <w:pPr>
        <w:pStyle w:val="ListBullet"/>
      </w:pPr>
      <w:r>
        <w:t>says a hook guarantees virality.[P1,P3][4–11,13–17]</w:t>
      </w:r>
    </w:p>
    <w:p>
      <w:pPr>
        <w:pStyle w:val="Heading1"/>
      </w:pPr>
      <w:r>
        <w:t>Illustrative stacks</w:t>
      </w:r>
    </w:p>
    <w:p>
      <w:r>
        <w:t>The following examples show the product rules. They are fictional and should never be generated unless equivalent evidence exists in an uploaded body video.</w:t>
      </w:r>
    </w:p>
    <w:p>
      <w:pPr>
        <w:pStyle w:val="Heading2"/>
      </w:pPr>
      <w:r>
        <w:t>Example one</w:t>
      </w:r>
    </w:p>
    <w:p>
      <w:r>
        <w:rPr>
          <w:b/>
        </w:rPr>
        <w:t>Body evidence:</w:t>
      </w:r>
      <w:r>
        <w:t xml:space="preserve"> The creator says they deleted 400 notes, then explains that their capture habit recreated the clutter within a week.</w:t>
      </w:r>
    </w:p>
    <w:p>
      <w:r>
        <w:rPr>
          <w:b/>
        </w:rPr>
        <w:t>Verbal:</w:t>
      </w:r>
      <w:r>
        <w:t xml:space="preserve"> “I deleted 400 notes and felt organized for one day. The real problem came back by Friday.”</w:t>
      </w:r>
    </w:p>
    <w:p>
      <w:r>
        <w:rPr>
          <w:b/>
        </w:rPr>
        <w:t>On-screen:</w:t>
      </w:r>
      <w:r>
        <w:t xml:space="preserve"> “The cleanup exposed the habit I kept defending for years”</w:t>
      </w:r>
    </w:p>
    <w:p>
      <w:r>
        <w:rPr>
          <w:b/>
        </w:rPr>
        <w:t>Physical:</w:t>
      </w:r>
      <w:r>
        <w:t xml:space="preserve"> Crack knuckles once as the first sentence begins.</w:t>
      </w:r>
    </w:p>
    <w:p>
      <w:r>
        <w:rPr>
          <w:b/>
        </w:rPr>
        <w:t>Why it works:</w:t>
      </w:r>
      <w:r>
        <w:t xml:space="preserve"> The speech names a measurable reversal. The text opens a separate mystery about the defended habit. The motion creates a single onset without competing with either claim.[1–3,6,13]</w:t>
      </w:r>
    </w:p>
    <w:p>
      <w:pPr>
        <w:pStyle w:val="Heading2"/>
      </w:pPr>
      <w:r>
        <w:t>Example two</w:t>
      </w:r>
    </w:p>
    <w:p>
      <w:r>
        <w:rPr>
          <w:b/>
        </w:rPr>
        <w:t>Body evidence:</w:t>
      </w:r>
      <w:r>
        <w:t xml:space="preserve"> The creator explains that a three-hour editing task remained slow because they refused to use an automation they already had.</w:t>
      </w:r>
    </w:p>
    <w:p>
      <w:r>
        <w:rPr>
          <w:b/>
        </w:rPr>
        <w:t>Verbal:</w:t>
      </w:r>
      <w:r>
        <w:t xml:space="preserve"> “This edit took three hours because I ignored one setting. I had already paid for the fix.”</w:t>
      </w:r>
    </w:p>
    <w:p>
      <w:r>
        <w:rPr>
          <w:b/>
        </w:rPr>
        <w:t>On-screen:</w:t>
      </w:r>
      <w:r>
        <w:t xml:space="preserve"> “The expensive part was the decision that looked completely free”</w:t>
      </w:r>
    </w:p>
    <w:p>
      <w:r>
        <w:rPr>
          <w:b/>
        </w:rPr>
        <w:t>Physical:</w:t>
      </w:r>
      <w:r>
        <w:t xml:space="preserve"> Adjust hair once, then return both hands out of frame.</w:t>
      </w:r>
    </w:p>
    <w:p>
      <w:r>
        <w:rPr>
          <w:b/>
        </w:rPr>
        <w:t>Why it works:</w:t>
      </w:r>
      <w:r>
        <w:t xml:space="preserve"> The verbal hook establishes cost and a named unknown. The text adds a defensible contradiction about the decision rather than restating the setting. The action remains semantically neutral.[1,6,8,13–15]</w:t>
      </w:r>
    </w:p>
    <w:p>
      <w:pPr>
        <w:pStyle w:val="Heading2"/>
      </w:pPr>
      <w:r>
        <w:t>Example three</w:t>
      </w:r>
    </w:p>
    <w:p>
      <w:r>
        <w:rPr>
          <w:b/>
        </w:rPr>
        <w:t>Body evidence:</w:t>
      </w:r>
      <w:r>
        <w:t xml:space="preserve"> The creator says their highest-viewed video began as a draft they almost deleted because the opening looked too plain, and shows analytics with a retention spike at that opening.</w:t>
      </w:r>
    </w:p>
    <w:p>
      <w:r>
        <w:rPr>
          <w:b/>
        </w:rPr>
        <w:t>Verbal:</w:t>
      </w:r>
      <w:r>
        <w:t xml:space="preserve"> “I almost deleted my highest-viewed video. The opening looked too boring to post.”</w:t>
      </w:r>
    </w:p>
    <w:p>
      <w:r>
        <w:rPr>
          <w:b/>
        </w:rPr>
        <w:t>On-screen:</w:t>
      </w:r>
      <w:r>
        <w:t xml:space="preserve"> “The part I was embarrassed by became the retention spike”</w:t>
      </w:r>
    </w:p>
    <w:p>
      <w:r>
        <w:rPr>
          <w:b/>
        </w:rPr>
        <w:t>Physical:</w:t>
      </w:r>
      <w:r>
        <w:t xml:space="preserve"> Tap fingertips together once before lowering the hands.</w:t>
      </w:r>
    </w:p>
    <w:p>
      <w:r>
        <w:rPr>
          <w:b/>
        </w:rPr>
        <w:t>Why it works:</w:t>
      </w:r>
      <w:r>
        <w:t xml:space="preserve"> The confession and outcome are verifiable in the body. The text withholds which embarrassing element created the spike. The short movement starts and resolves without creating a new story.[2,3,6,8,13]</w:t>
      </w:r>
    </w:p>
    <w:p>
      <w:pPr>
        <w:pStyle w:val="Heading1"/>
      </w:pPr>
      <w:r>
        <w:t>Testable hypotheses</w:t>
      </w:r>
    </w:p>
    <w:p>
      <w:r>
        <w:t>These are product hypotheses, not established facts.</w:t>
      </w:r>
    </w:p>
    <w:tbl>
      <w:tblPr>
        <w:tblW w:type="auto" w:w="0"/>
        <w:jc w:val="left"/>
        <w:tblLayout w:type="fixed"/>
        <w:tblLook w:firstColumn="1" w:firstRow="1" w:lastColumn="0" w:lastRow="0" w:noHBand="0" w:noVBand="1" w:val="04A0"/>
      </w:tblPr>
      <w:tblGrid>
        <w:gridCol w:w="2513"/>
        <w:gridCol w:w="2513"/>
        <w:gridCol w:w="2513"/>
        <w:gridCol w:w="2513"/>
      </w:tblGrid>
      <w:tr>
        <w:trPr>
          <w:tblHeade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ID</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Hypothesis</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Primary metric</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Guardrail</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H1</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 specific named unknown beats generic withholding</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Three-second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Negative feedback</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H2</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Additive text beats text that paraphrases speech</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Six-second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Comprehension check</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H3</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Intermediate text concreteness beats very vague and fully resolved text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Six-second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Completion rate</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H4</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One brief body-motion onset beats static posture</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One-second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Creator retake rate</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H5</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Continuous fidgeting loses to one completed motion</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Six-second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Completion rate</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H6</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One or two short spoken sentences beat a longer generated paragraph</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Three-second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Downstream completion</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H7</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Evidence-backed outlandish text beats equally surprising unsupported text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Completion and shares per qualified view</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Reports and hides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H8</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Controlled orthogonality beats duplication and total thematic independence</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Six-second hold</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Comprehension and completion</w:t>
            </w:r>
          </w:p>
        </w:tc>
      </w:tr>
    </w:tbl>
    <w:p>
      <w:pPr>
        <w:spacing w:after="40" w:line="48" w:lineRule="auto"/>
      </w:pPr>
    </w:p>
    <w:p>
      <w:pPr>
        <w:pStyle w:val="Heading1"/>
      </w:pPr>
      <w:r>
        <w:t>A B testing plan</w:t>
      </w:r>
    </w:p>
    <w:p>
      <w:r>
        <w:t>Randomized controlled experiments are the strongest practical design for attributing changes in observable behavior to product variants.[28] The program should test one layer at a time before testing interactions.</w:t>
      </w:r>
    </w:p>
    <w:p>
      <w:pPr>
        <w:pStyle w:val="Heading2"/>
      </w:pPr>
      <w:r>
        <w:t>Phase one validates each layer</w:t>
      </w:r>
    </w:p>
    <w:p>
      <w:r>
        <w:t>Use the same creator, body edit, posting account, caption, cover, audio mix, and distribution window wherever the platform permits. Randomize hook variants across eligible videos or, when reposting would contaminate reach, use a sufficiently large set of comparable videos and block randomization by creator and content category. Pre-register the primary metric, minimum detectable effect, sample-size rule, exclusion criteria, and test duration before launch.[28]</w:t>
      </w:r>
    </w:p>
    <w:p>
      <w:r>
        <w:t>For verbal hooks, compare specific gap versus generic gap, simple versus complex syntax, and one versus two sentences. For text, compare additive mystery versus paraphrase and low, middle, and high concreteness. For physical cues, compare static, single-onset motion, and continuous motion. Do not test all factors at once in the first stage; factorial interaction estimates require substantially more observations than a single two-arm comparison.</w:t>
      </w:r>
    </w:p>
    <w:p>
      <w:pPr>
        <w:pStyle w:val="Heading2"/>
      </w:pPr>
      <w:r>
        <w:t>Phase two tests interactions</w:t>
      </w:r>
    </w:p>
    <w:p>
      <w:r>
        <w:t>After each layer has at least one credible winner, run a two-by-two test of text relationship and physical onset: additive versus duplicate text crossed with motion versus static posture. Then compare controlled orthogonality with two failure modes: duplicate layers and fully unrelated text. The latter is ethically acceptable only when the text remains factually true and does not mislead the viewer.</w:t>
      </w:r>
    </w:p>
    <w:p>
      <w:pPr>
        <w:pStyle w:val="Heading2"/>
      </w:pPr>
      <w:r>
        <w:t>Metrics</w:t>
      </w:r>
    </w:p>
    <w:p>
      <w:r>
        <w:t>Use a metric chain rather than a single “virality score.”</w:t>
      </w:r>
    </w:p>
    <w:p>
      <w:pPr>
        <w:ind w:left="346" w:hanging="346"/>
      </w:pPr>
      <w:r>
        <w:t xml:space="preserve">1.  </w:t>
      </w:r>
      <w:r>
        <w:rPr>
          <w:b/>
        </w:rPr>
        <w:t>One-second hold</w:t>
      </w:r>
      <w:r>
        <w:t xml:space="preserve"> estimates immediate stopping behavior.</w:t>
      </w:r>
    </w:p>
    <w:p>
      <w:pPr>
        <w:ind w:left="346" w:hanging="346"/>
      </w:pPr>
      <w:r>
        <w:t xml:space="preserve">2.  </w:t>
      </w:r>
      <w:r>
        <w:rPr>
          <w:b/>
        </w:rPr>
        <w:t>Three-second hold</w:t>
      </w:r>
      <w:r>
        <w:t xml:space="preserve"> estimates whether the opening survives first evaluation.</w:t>
      </w:r>
    </w:p>
    <w:p>
      <w:pPr>
        <w:ind w:left="346" w:hanging="346"/>
      </w:pPr>
      <w:r>
        <w:t xml:space="preserve">3.  </w:t>
      </w:r>
      <w:r>
        <w:rPr>
          <w:b/>
        </w:rPr>
        <w:t>Six-second hold</w:t>
      </w:r>
      <w:r>
        <w:t xml:space="preserve"> estimates whether the hook hands off to the body; TikTok’s six-second guidance is advertising-specific and should be treated as a measurement window, not a universal law.[20]</w:t>
      </w:r>
    </w:p>
    <w:p>
      <w:pPr>
        <w:ind w:left="346" w:hanging="346"/>
      </w:pPr>
      <w:r>
        <w:t xml:space="preserve">4.  </w:t>
      </w:r>
      <w:r>
        <w:rPr>
          <w:b/>
        </w:rPr>
        <w:t>Completion rate</w:t>
      </w:r>
      <w:r>
        <w:t xml:space="preserve"> tests whether the promise supports the full video.</w:t>
      </w:r>
    </w:p>
    <w:p>
      <w:pPr>
        <w:ind w:left="346" w:hanging="346"/>
      </w:pPr>
      <w:r>
        <w:t xml:space="preserve">5.  </w:t>
      </w:r>
      <w:r>
        <w:rPr>
          <w:b/>
        </w:rPr>
        <w:t>Rewatch rate</w:t>
      </w:r>
      <w:r>
        <w:t xml:space="preserve"> indicates repeat consumption but can also reflect confusion; YouTube notes that retention spikes can indicate rewatching or sharing, not necessarily clarity.[18]</w:t>
      </w:r>
    </w:p>
    <w:p>
      <w:pPr>
        <w:ind w:left="346" w:hanging="346"/>
      </w:pPr>
      <w:r>
        <w:t xml:space="preserve">6.  </w:t>
      </w:r>
      <w:r>
        <w:rPr>
          <w:b/>
        </w:rPr>
        <w:t>Shares per qualified view</w:t>
      </w:r>
      <w:r>
        <w:t xml:space="preserve"> measures transmission among viewers who watched long enough to understand the premise.</w:t>
      </w:r>
    </w:p>
    <w:p>
      <w:pPr>
        <w:ind w:left="346" w:hanging="346"/>
      </w:pPr>
      <w:r>
        <w:t xml:space="preserve">7.  </w:t>
      </w:r>
      <w:r>
        <w:rPr>
          <w:b/>
        </w:rPr>
        <w:t>Negative feedback, reports, hides, and unfollows</w:t>
      </w:r>
      <w:r>
        <w:t xml:space="preserve"> guard against deceptive claims.</w:t>
      </w:r>
    </w:p>
    <w:p>
      <w:pPr>
        <w:ind w:left="346" w:hanging="346"/>
      </w:pPr>
      <w:r>
        <w:t xml:space="preserve">8.  </w:t>
      </w:r>
      <w:r>
        <w:rPr>
          <w:b/>
        </w:rPr>
        <w:t>Creator retake rate and edit time</w:t>
      </w:r>
      <w:r>
        <w:t xml:space="preserve"> measure whether a theoretically strong hook is usable.</w:t>
      </w:r>
    </w:p>
    <w:p>
      <w:pPr>
        <w:pStyle w:val="Heading2"/>
      </w:pPr>
      <w:r>
        <w:t>Analysis rules</w:t>
      </w:r>
    </w:p>
    <w:p>
      <w:r>
        <w:t>Analyze by assigned variant, preserve creator and content-category blocks, and report effect sizes with confidence intervals. Correct or control for multiple comparisons when several variants share a control. Do not stop a fixed-horizon test the first time a conventional p-value crosses a threshold; repeated peeking can make ordinary p-values and confidence intervals unreliable. Use a precommitted sample size or an always-valid sequential method.[29]</w:t>
      </w:r>
    </w:p>
    <w:p>
      <w:r>
        <w:t>Treat a result as product evidence only for the tested population, format, distribution channel, and metric. A lift in one-second hold does not prove a lift in sharing. A lift in paid conversion does not prove a lift in organic retention. Retain losing variants when they win a downstream guardrail that matters, and document the tradeoff.</w:t>
      </w:r>
    </w:p>
    <w:p>
      <w:pPr>
        <w:pStyle w:val="Heading1"/>
      </w:pPr>
      <w:r>
        <w:t>Research limitations</w:t>
      </w:r>
    </w:p>
    <w:p>
      <w:r>
        <w:t>No source in this review isolates Editmaxxing’s proposed combination of spoken hook, independent on-screen mystery, and body-only action in an organic short-form feed. Laboratory attention findings establish millisecond-scale orienting, not sustained watching.[13–16] Caption and redundancy studies primarily measure learning and comprehension.[9–12,24–26] Headline studies measure clicking and article selection, not video retention.[6–8,27] Virality studies measure sharing of news articles and are sensitive to content, channel, and network context.[4,5]</w:t>
      </w:r>
    </w:p>
    <w:p>
      <w:r>
        <w:t>TikTok’s materials concern advertising and include platform-commissioned studies whose full methods are not consistently public.[19,20] YouTube provides useful diagnostic definitions and product guidance but does not disclose controlled evidence for each recommendation.[18,21] These sources justify where to start testing. They do not justify promising that a specific hook will go viral.</w:t>
      </w:r>
    </w:p>
    <w:p>
      <w:r>
        <w:t>The strongest near-term research contribution Editmaxxing can make is its own preregistered, creator-blocked experiment dataset linking generated hook features to first-second retention, completion, replay, sharing, negative feedback, and production cost. Until then, the recommendation engine should state mechanisms confidently and outcomes cautiously.</w:t>
      </w:r>
    </w:p>
    <w:p>
      <w:pPr>
        <w:pStyle w:val="Heading1"/>
      </w:pPr>
      <w:r>
        <w:t>Sources</w:t>
      </w:r>
    </w:p>
    <w:p>
      <w:pPr>
        <w:pStyle w:val="Heading2"/>
      </w:pPr>
      <w:r>
        <w:t>External evidence</w:t>
      </w:r>
    </w:p>
    <w:p>
      <w:pPr>
        <w:pStyle w:val="SourceEntry"/>
      </w:pPr>
      <w:r>
        <w:t xml:space="preserve">[1] Loewenstein, G. (1994). The psychology of curiosity A review and reinterpretation. </w:t>
      </w:r>
      <w:r>
        <w:rPr>
          <w:i/>
        </w:rPr>
        <w:t>Psychological Bulletin, 116</w:t>
      </w:r>
      <w:r>
        <w:t xml:space="preserve">(1), 75–98. </w:t>
      </w:r>
      <w:hyperlink r:id="rId11">
        <w:r>
          <w:rPr>
            <w:color w:val="3A3A3A"/>
            <w:u w:val="single"/>
          </w:rPr>
          <w:t>https://doi.org/10.1037/0033-2909.116.1.75</w:t>
        </w:r>
      </w:hyperlink>
    </w:p>
    <w:p>
      <w:pPr>
        <w:pStyle w:val="SourceEntry"/>
      </w:pPr>
      <w:r>
        <w:t xml:space="preserve">[2] Kang, M. J., Hsu, M., Krajbich, I. M., Loewenstein, G., McClure, S. M., Wang, J. T., and Camerer, C. F. (2009). The wick in the candle of learning Epistemic curiosity activates reward circuitry and enhances memory. </w:t>
      </w:r>
      <w:r>
        <w:rPr>
          <w:i/>
        </w:rPr>
        <w:t>Psychological Science, 20</w:t>
      </w:r>
      <w:r>
        <w:t xml:space="preserve">(8), 963–973. </w:t>
      </w:r>
      <w:hyperlink r:id="rId12">
        <w:r>
          <w:rPr>
            <w:color w:val="3A3A3A"/>
            <w:u w:val="single"/>
          </w:rPr>
          <w:t>https://doi.org/10.1111/j.1467-9280.2009.02402.x</w:t>
        </w:r>
      </w:hyperlink>
    </w:p>
    <w:p>
      <w:pPr>
        <w:pStyle w:val="SourceEntry"/>
      </w:pPr>
      <w:r>
        <w:t xml:space="preserve">[3] Gruber, M. J., Gelman, B. D., and Ranganath, C. (2014). States of curiosity modulate hippocampus-dependent learning via the dopaminergic circuit. </w:t>
      </w:r>
      <w:r>
        <w:rPr>
          <w:i/>
        </w:rPr>
        <w:t>Neuron, 84</w:t>
      </w:r>
      <w:r>
        <w:t xml:space="preserve">(2), 486–496. </w:t>
      </w:r>
      <w:hyperlink r:id="rId13">
        <w:r>
          <w:rPr>
            <w:color w:val="3A3A3A"/>
            <w:u w:val="single"/>
          </w:rPr>
          <w:t>https://doi.org/10.1016/j.neuron.2014.08.060</w:t>
        </w:r>
      </w:hyperlink>
    </w:p>
    <w:p>
      <w:pPr>
        <w:pStyle w:val="SourceEntry"/>
      </w:pPr>
      <w:r>
        <w:t xml:space="preserve">[4] Berger, J., and Milkman, K. L. (2012). What makes online content viral. </w:t>
      </w:r>
      <w:r>
        <w:rPr>
          <w:i/>
        </w:rPr>
        <w:t>Journal of Marketing Research, 49</w:t>
      </w:r>
      <w:r>
        <w:t xml:space="preserve">(2), 192–205. </w:t>
      </w:r>
      <w:hyperlink r:id="rId14">
        <w:r>
          <w:rPr>
            <w:color w:val="3A3A3A"/>
            <w:u w:val="single"/>
          </w:rPr>
          <w:t>https://doi.org/10.1509/jmr.10.0353</w:t>
        </w:r>
      </w:hyperlink>
    </w:p>
    <w:p>
      <w:pPr>
        <w:pStyle w:val="SourceEntry"/>
      </w:pPr>
      <w:r>
        <w:t xml:space="preserve">[5] Heimbach, I., and Hinz, O. (2016). The impact of content sentiment and emotionality on content virality. </w:t>
      </w:r>
      <w:r>
        <w:rPr>
          <w:i/>
        </w:rPr>
        <w:t>International Journal of Research in Marketing, 33</w:t>
      </w:r>
      <w:r>
        <w:t xml:space="preserve">(3), 695–701. </w:t>
      </w:r>
      <w:hyperlink r:id="rId15">
        <w:r>
          <w:rPr>
            <w:color w:val="3A3A3A"/>
            <w:u w:val="single"/>
          </w:rPr>
          <w:t>https://doi.org/10.1016/j.ijresmar.2016.02.004</w:t>
        </w:r>
      </w:hyperlink>
    </w:p>
    <w:p>
      <w:pPr>
        <w:pStyle w:val="SourceEntry"/>
      </w:pPr>
      <w:r>
        <w:t xml:space="preserve">[6] Aubin Le Quéré, M., and Matias, J. N. (2025). When curiosity gaps backfire Effects of headline concreteness on information selection decisions. </w:t>
      </w:r>
      <w:r>
        <w:rPr>
          <w:i/>
        </w:rPr>
        <w:t>Scientific Reports, 15</w:t>
      </w:r>
      <w:r>
        <w:t xml:space="preserve">, 994. </w:t>
      </w:r>
      <w:hyperlink r:id="rId16">
        <w:r>
          <w:rPr>
            <w:color w:val="3A3A3A"/>
            <w:u w:val="single"/>
          </w:rPr>
          <w:t>https://doi.org/10.1038/s41598-024-81575-9</w:t>
        </w:r>
      </w:hyperlink>
    </w:p>
    <w:p>
      <w:pPr>
        <w:pStyle w:val="SourceEntry"/>
      </w:pPr>
      <w:r>
        <w:t xml:space="preserve">[7] Scacco, J. M., and Muddiman, A. (2020). The curiosity effect Information seeking in the contemporary news environment. </w:t>
      </w:r>
      <w:r>
        <w:rPr>
          <w:i/>
        </w:rPr>
        <w:t>New Media and Society, 22</w:t>
      </w:r>
      <w:r>
        <w:t xml:space="preserve">(3), 429–448. </w:t>
      </w:r>
      <w:hyperlink r:id="rId17">
        <w:r>
          <w:rPr>
            <w:color w:val="3A3A3A"/>
            <w:u w:val="single"/>
          </w:rPr>
          <w:t>https://doi.org/10.1177/1461444819863408</w:t>
        </w:r>
      </w:hyperlink>
    </w:p>
    <w:p>
      <w:pPr>
        <w:pStyle w:val="SourceEntry"/>
      </w:pPr>
      <w:r>
        <w:t xml:space="preserve">[8] Shulman, H. C., Markowitz, D. M., and Rogers, T. (2024). Reading dies in complexity Online news consumers prefer simple writing. </w:t>
      </w:r>
      <w:r>
        <w:rPr>
          <w:i/>
        </w:rPr>
        <w:t>Science Advances, 10</w:t>
      </w:r>
      <w:r>
        <w:t xml:space="preserve">(23), eadn2555. </w:t>
      </w:r>
      <w:hyperlink r:id="rId18">
        <w:r>
          <w:rPr>
            <w:color w:val="3A3A3A"/>
            <w:u w:val="single"/>
          </w:rPr>
          <w:t>https://doi.org/10.1126/sciadv.adn2555</w:t>
        </w:r>
      </w:hyperlink>
    </w:p>
    <w:p>
      <w:pPr>
        <w:pStyle w:val="SourceEntry"/>
      </w:pPr>
      <w:r>
        <w:t xml:space="preserve">[9] Kalyuga, S., Chandler, P., and Sweller, J. (1999). Managing split-attention and redundancy in multimedia instruction. </w:t>
      </w:r>
      <w:r>
        <w:rPr>
          <w:i/>
        </w:rPr>
        <w:t>Applied Cognitive Psychology, 13</w:t>
      </w:r>
      <w:r>
        <w:t xml:space="preserve">(4), 351–371. </w:t>
      </w:r>
      <w:hyperlink r:id="rId19">
        <w:r>
          <w:rPr>
            <w:color w:val="3A3A3A"/>
            <w:u w:val="single"/>
          </w:rPr>
          <w:t>https://doi.org/10.1002/(SICI)1099-0720(199908)13:4%3C351::AID-ACP589%3E3.0.CO;2-6</w:t>
        </w:r>
      </w:hyperlink>
    </w:p>
    <w:p>
      <w:pPr>
        <w:pStyle w:val="SourceEntry"/>
      </w:pPr>
      <w:r>
        <w:t xml:space="preserve">[10] Kalyuga, S., Chandler, P., and Sweller, J. (2004). When redundant on-screen text in multimedia technical instruction can interfere with learning. </w:t>
      </w:r>
      <w:r>
        <w:rPr>
          <w:i/>
        </w:rPr>
        <w:t>Human Factors, 46</w:t>
      </w:r>
      <w:r>
        <w:t xml:space="preserve">(3), 567–581. </w:t>
      </w:r>
      <w:hyperlink r:id="rId20">
        <w:r>
          <w:rPr>
            <w:color w:val="3A3A3A"/>
            <w:u w:val="single"/>
          </w:rPr>
          <w:t>https://doi.org/10.1518/hfes.46.3.567.50405</w:t>
        </w:r>
      </w:hyperlink>
    </w:p>
    <w:p>
      <w:pPr>
        <w:pStyle w:val="SourceEntry"/>
      </w:pPr>
      <w:r>
        <w:t xml:space="preserve">[11] Rey, G. D. (2012). A review of research and a meta-analysis of the seductive detail effect. </w:t>
      </w:r>
      <w:r>
        <w:rPr>
          <w:i/>
        </w:rPr>
        <w:t>Educational Research Review, 7</w:t>
      </w:r>
      <w:r>
        <w:t xml:space="preserve">(3), 216–237. </w:t>
      </w:r>
      <w:hyperlink r:id="rId21">
        <w:r>
          <w:rPr>
            <w:color w:val="3A3A3A"/>
            <w:u w:val="single"/>
          </w:rPr>
          <w:t>https://doi.org/10.1016/j.edurev.2012.05.003</w:t>
        </w:r>
      </w:hyperlink>
    </w:p>
    <w:p>
      <w:pPr>
        <w:pStyle w:val="SourceEntry"/>
      </w:pPr>
      <w:r>
        <w:t xml:space="preserve">[12] Montero Perez, M., Van Den Noortgate, W., and Desmet, P. (2013). Captioned video for L2 listening and vocabulary learning A meta-analysis. </w:t>
      </w:r>
      <w:r>
        <w:rPr>
          <w:i/>
        </w:rPr>
        <w:t>System, 41</w:t>
      </w:r>
      <w:r>
        <w:t xml:space="preserve">(3), 720–739. </w:t>
      </w:r>
      <w:hyperlink r:id="rId22">
        <w:r>
          <w:rPr>
            <w:color w:val="3A3A3A"/>
            <w:u w:val="single"/>
          </w:rPr>
          <w:t>https://doi.org/10.1016/j.system.2013.07.013</w:t>
        </w:r>
      </w:hyperlink>
    </w:p>
    <w:p>
      <w:pPr>
        <w:pStyle w:val="SourceEntry"/>
      </w:pPr>
      <w:r>
        <w:t xml:space="preserve">[13] Abrams, R. A., and Christ, S. E. (2003). Motion onset captures attention. </w:t>
      </w:r>
      <w:r>
        <w:rPr>
          <w:i/>
        </w:rPr>
        <w:t>Psychological Science, 14</w:t>
      </w:r>
      <w:r>
        <w:t xml:space="preserve">(5), 427–432. </w:t>
      </w:r>
      <w:hyperlink r:id="rId23">
        <w:r>
          <w:rPr>
            <w:color w:val="3A3A3A"/>
            <w:u w:val="single"/>
          </w:rPr>
          <w:t>https://doi.org/10.1111/1467-9280.01458</w:t>
        </w:r>
      </w:hyperlink>
    </w:p>
    <w:p>
      <w:pPr>
        <w:pStyle w:val="SourceEntry"/>
      </w:pPr>
      <w:r>
        <w:t xml:space="preserve">[14] Franconeri, S. L., and Simons, D. J. (2003). Moving and looming stimuli capture attention. </w:t>
      </w:r>
      <w:r>
        <w:rPr>
          <w:i/>
        </w:rPr>
        <w:t>Perception and Psychophysics, 65</w:t>
      </w:r>
      <w:r>
        <w:t xml:space="preserve">(7), 999–1010. </w:t>
      </w:r>
      <w:hyperlink r:id="rId24">
        <w:r>
          <w:rPr>
            <w:color w:val="3A3A3A"/>
            <w:u w:val="single"/>
          </w:rPr>
          <w:t>https://doi.org/10.3758/BF03194829</w:t>
        </w:r>
      </w:hyperlink>
    </w:p>
    <w:p>
      <w:pPr>
        <w:pStyle w:val="SourceEntry"/>
      </w:pPr>
      <w:r>
        <w:t xml:space="preserve">[15] Williams, E. H., Cristino, F., and Cross, E. S. (2019). Human body motion captures visual attention and elicits pupillary dilation. </w:t>
      </w:r>
      <w:r>
        <w:rPr>
          <w:i/>
        </w:rPr>
        <w:t>Cognition, 193</w:t>
      </w:r>
      <w:r>
        <w:t xml:space="preserve">, 104029. </w:t>
      </w:r>
      <w:hyperlink r:id="rId25">
        <w:r>
          <w:rPr>
            <w:color w:val="3A3A3A"/>
            <w:u w:val="single"/>
          </w:rPr>
          <w:t>https://doi.org/10.1016/j.cognition.2019.104029</w:t>
        </w:r>
      </w:hyperlink>
    </w:p>
    <w:p>
      <w:pPr>
        <w:pStyle w:val="SourceEntry"/>
      </w:pPr>
      <w:r>
        <w:t xml:space="preserve">[16] Senju, A., and Hasegawa, T. (2005). Direct gaze captures visuospatial attention. </w:t>
      </w:r>
      <w:r>
        <w:rPr>
          <w:i/>
        </w:rPr>
        <w:t>Visual Cognition, 12</w:t>
      </w:r>
      <w:r>
        <w:t xml:space="preserve">(1), 127–144. </w:t>
      </w:r>
      <w:hyperlink r:id="rId26">
        <w:r>
          <w:rPr>
            <w:color w:val="3A3A3A"/>
            <w:u w:val="single"/>
          </w:rPr>
          <w:t>https://doi.org/10.1080/13506280444000157</w:t>
        </w:r>
      </w:hyperlink>
    </w:p>
    <w:p>
      <w:pPr>
        <w:pStyle w:val="SourceEntry"/>
      </w:pPr>
      <w:r>
        <w:t xml:space="preserve">[17] Sundararajan, N., and Adesope, O. (2020). Keep it coherent A meta-analysis of the seductive details effect. </w:t>
      </w:r>
      <w:r>
        <w:rPr>
          <w:i/>
        </w:rPr>
        <w:t>Educational Psychology Review, 32</w:t>
      </w:r>
      <w:r>
        <w:t xml:space="preserve">, 707–734. </w:t>
      </w:r>
      <w:hyperlink r:id="rId27">
        <w:r>
          <w:rPr>
            <w:color w:val="3A3A3A"/>
            <w:u w:val="single"/>
          </w:rPr>
          <w:t>https://doi.org/10.1007/s10648-020-09522-4</w:t>
        </w:r>
      </w:hyperlink>
    </w:p>
    <w:p>
      <w:pPr>
        <w:pStyle w:val="SourceEntry"/>
      </w:pPr>
      <w:r>
        <w:t xml:space="preserve">[18] YouTube. (n.d.). Measure key moments for audience retention. </w:t>
      </w:r>
      <w:hyperlink r:id="rId28">
        <w:r>
          <w:rPr>
            <w:color w:val="3A3A3A"/>
            <w:u w:val="single"/>
          </w:rPr>
          <w:t>https://support.google.com/youtube/answer/9314415?hl=en</w:t>
        </w:r>
      </w:hyperlink>
    </w:p>
    <w:p>
      <w:pPr>
        <w:pStyle w:val="SourceEntry"/>
      </w:pPr>
      <w:r>
        <w:t xml:space="preserve">[19] TikTok for Business. (2021). Triple-digit conversion lift Simple creative tips to make your ads work harder. </w:t>
      </w:r>
      <w:hyperlink r:id="rId29">
        <w:r>
          <w:rPr>
            <w:color w:val="3A3A3A"/>
            <w:u w:val="single"/>
          </w:rPr>
          <w:t>https://ads.tiktok.com/business/en-US/blog/creative-that-drives-conversions</w:t>
        </w:r>
      </w:hyperlink>
    </w:p>
    <w:p>
      <w:pPr>
        <w:pStyle w:val="SourceEntry"/>
      </w:pPr>
      <w:r>
        <w:t xml:space="preserve">[20] TikTok for Business. (2023). TikTok Creative Codes. </w:t>
      </w:r>
      <w:hyperlink r:id="rId30">
        <w:r>
          <w:rPr>
            <w:color w:val="3A3A3A"/>
            <w:u w:val="single"/>
          </w:rPr>
          <w:t>https://ads.tiktok.com/business/library/TikTok_CreativeCodes_May2023.pdf</w:t>
        </w:r>
      </w:hyperlink>
    </w:p>
    <w:p>
      <w:pPr>
        <w:pStyle w:val="SourceEntry"/>
      </w:pPr>
      <w:r>
        <w:t xml:space="preserve">[21] YouTube. (n.d.). Understand your content performance for YouTube’s recommendation system. </w:t>
      </w:r>
      <w:hyperlink r:id="rId31">
        <w:r>
          <w:rPr>
            <w:color w:val="3A3A3A"/>
            <w:u w:val="single"/>
          </w:rPr>
          <w:t>https://support.google.com/youtube/answer/16559650?hl=en</w:t>
        </w:r>
      </w:hyperlink>
    </w:p>
    <w:p>
      <w:pPr>
        <w:pStyle w:val="SourceEntry"/>
      </w:pPr>
      <w:r>
        <w:t xml:space="preserve">[22] Symons, C. S., and Johnson, B. T. (1997). The self-reference effect in memory A meta-analysis. </w:t>
      </w:r>
      <w:r>
        <w:rPr>
          <w:i/>
        </w:rPr>
        <w:t>Psychological Bulletin, 121</w:t>
      </w:r>
      <w:r>
        <w:t xml:space="preserve">(3), 371–394. </w:t>
      </w:r>
      <w:hyperlink r:id="rId32">
        <w:r>
          <w:rPr>
            <w:color w:val="3A3A3A"/>
            <w:u w:val="single"/>
          </w:rPr>
          <w:t>https://doi.org/10.1037/0033-2909.121.3.371</w:t>
        </w:r>
      </w:hyperlink>
    </w:p>
    <w:p>
      <w:pPr>
        <w:pStyle w:val="SourceEntry"/>
      </w:pPr>
      <w:r>
        <w:t xml:space="preserve">[23] Reber, R., Winkielman, P., and Schwarz, N. (1998). Effects of perceptual fluency on affective judgments. </w:t>
      </w:r>
      <w:r>
        <w:rPr>
          <w:i/>
        </w:rPr>
        <w:t>Psychological Science, 9</w:t>
      </w:r>
      <w:r>
        <w:t xml:space="preserve">(1), 45–48. </w:t>
      </w:r>
      <w:hyperlink r:id="rId33">
        <w:r>
          <w:rPr>
            <w:color w:val="3A3A3A"/>
            <w:u w:val="single"/>
          </w:rPr>
          <w:t>https://doi.org/10.1111/1467-9280.00008</w:t>
        </w:r>
      </w:hyperlink>
    </w:p>
    <w:p>
      <w:pPr>
        <w:pStyle w:val="SourceEntry"/>
      </w:pPr>
      <w:r>
        <w:t xml:space="preserve">[24] Perego, E., Del Missier, F., Porta, M., and Mosconi, M. (2010). The cognitive effectiveness of subtitle processing. </w:t>
      </w:r>
      <w:r>
        <w:rPr>
          <w:i/>
        </w:rPr>
        <w:t>Media Psychology, 13</w:t>
      </w:r>
      <w:r>
        <w:t xml:space="preserve">(3), 243–272. </w:t>
      </w:r>
      <w:hyperlink r:id="rId34">
        <w:r>
          <w:rPr>
            <w:color w:val="3A3A3A"/>
            <w:u w:val="single"/>
          </w:rPr>
          <w:t>https://doi.org/10.1080/15213269.2010.502873</w:t>
        </w:r>
      </w:hyperlink>
    </w:p>
    <w:p>
      <w:pPr>
        <w:pStyle w:val="SourceEntry"/>
      </w:pPr>
      <w:r>
        <w:t xml:space="preserve">[25] Pi, Z., Zhang, Y., Zhu, F., Xu, K., Yang, J., and Hu, W. (2019). Instructors’ pointing gestures improve learning regardless of their use of directed gaze in video lectures. </w:t>
      </w:r>
      <w:r>
        <w:rPr>
          <w:i/>
        </w:rPr>
        <w:t>Computers and Education, 128</w:t>
      </w:r>
      <w:r>
        <w:t xml:space="preserve">, 345–352. </w:t>
      </w:r>
      <w:hyperlink r:id="rId35">
        <w:r>
          <w:rPr>
            <w:color w:val="3A3A3A"/>
            <w:u w:val="single"/>
          </w:rPr>
          <w:t>https://doi.org/10.1016/j.compedu.2018.10.006</w:t>
        </w:r>
      </w:hyperlink>
    </w:p>
    <w:p>
      <w:pPr>
        <w:pStyle w:val="SourceEntry"/>
      </w:pPr>
      <w:r>
        <w:t xml:space="preserve">[26] Pi, Z., Zhu, F., Zhang, Y., Chen, L., and Yang, J. (2022). Complexity of visual learning material moderates the effects of instructor’s beat gestures and head nods in video lectures. </w:t>
      </w:r>
      <w:r>
        <w:rPr>
          <w:i/>
        </w:rPr>
        <w:t>Learning and Instruction, 77</w:t>
      </w:r>
      <w:r>
        <w:t xml:space="preserve">, 101520. </w:t>
      </w:r>
      <w:hyperlink r:id="rId36">
        <w:r>
          <w:rPr>
            <w:color w:val="3A3A3A"/>
            <w:u w:val="single"/>
          </w:rPr>
          <w:t>https://doi.org/10.1016/j.learninstruc.2021.101520</w:t>
        </w:r>
      </w:hyperlink>
    </w:p>
    <w:p>
      <w:pPr>
        <w:pStyle w:val="SourceEntry"/>
      </w:pPr>
      <w:r>
        <w:t xml:space="preserve">[27] Banerjee, A., and Urminsky, O. (2024). The language that drives engagement A systematic large-scale analysis of headline experiments. </w:t>
      </w:r>
      <w:r>
        <w:rPr>
          <w:i/>
        </w:rPr>
        <w:t>Marketing Science, 44</w:t>
      </w:r>
      <w:r>
        <w:t xml:space="preserve">(3), 566–592. </w:t>
      </w:r>
      <w:hyperlink r:id="rId37">
        <w:r>
          <w:rPr>
            <w:color w:val="3A3A3A"/>
            <w:u w:val="single"/>
          </w:rPr>
          <w:t>https://doi.org/10.1287/mksc.2021.0018</w:t>
        </w:r>
      </w:hyperlink>
    </w:p>
    <w:p>
      <w:pPr>
        <w:pStyle w:val="SourceEntry"/>
      </w:pPr>
      <w:r>
        <w:t xml:space="preserve">[28] Kohavi, R., Longbotham, R., Sommerfield, D., and Henne, R. M. (2009). Controlled experiments on the web Survey and practical guide. </w:t>
      </w:r>
      <w:r>
        <w:rPr>
          <w:i/>
        </w:rPr>
        <w:t>Data Mining and Knowledge Discovery, 18</w:t>
      </w:r>
      <w:r>
        <w:t xml:space="preserve">, 140–181. </w:t>
      </w:r>
      <w:hyperlink r:id="rId38">
        <w:r>
          <w:rPr>
            <w:color w:val="3A3A3A"/>
            <w:u w:val="single"/>
          </w:rPr>
          <w:t>https://doi.org/10.1007/s10618-008-0114-1</w:t>
        </w:r>
      </w:hyperlink>
    </w:p>
    <w:p>
      <w:pPr>
        <w:pStyle w:val="SourceEntry"/>
      </w:pPr>
      <w:r>
        <w:t xml:space="preserve">[29] Johari, R., Koomen, P., Pekelis, L., and Walsh, D. (2017). Peeking at A B tests Why it matters and what to do about it. </w:t>
      </w:r>
      <w:r>
        <w:rPr>
          <w:i/>
        </w:rPr>
        <w:t>Proceedings of the 23rd ACM SIGKDD International Conference on Knowledge Discovery and Data Mining</w:t>
      </w:r>
      <w:r>
        <w:t xml:space="preserve">, 1517–1525. </w:t>
      </w:r>
      <w:hyperlink r:id="rId39">
        <w:r>
          <w:rPr>
            <w:color w:val="3A3A3A"/>
            <w:u w:val="single"/>
          </w:rPr>
          <w:t>https://doi.org/10.1145/3097983.3097992</w:t>
        </w:r>
      </w:hyperlink>
    </w:p>
    <w:p>
      <w:pPr>
        <w:pStyle w:val="SourceEntry"/>
      </w:pPr>
      <w:r>
        <w:t xml:space="preserve">[30] Fridman, L. (Host), and Donaldson, J. (Guest). (2023). </w:t>
      </w:r>
      <w:r>
        <w:rPr>
          <w:i/>
        </w:rPr>
        <w:t>MrBeast Future of YouTube, Twitter, TikTok, and Instagram</w:t>
      </w:r>
      <w:r>
        <w:t xml:space="preserve">. Lex Fridman Podcast 351, “Audience retention,” 30:24–35:03. </w:t>
      </w:r>
      <w:hyperlink r:id="rId40">
        <w:r>
          <w:rPr>
            <w:color w:val="3A3A3A"/>
            <w:u w:val="single"/>
          </w:rPr>
          <w:t>https://lexfridman.com/mrbeast</w:t>
        </w:r>
      </w:hyperlink>
    </w:p>
    <w:p>
      <w:pPr>
        <w:pStyle w:val="SourceEntry"/>
      </w:pPr>
      <w:r>
        <w:t xml:space="preserve">[31] Abdaal, A. (n.d.). </w:t>
      </w:r>
      <w:r>
        <w:rPr>
          <w:i/>
        </w:rPr>
        <w:t>The ultimate guide to YouTube</w:t>
      </w:r>
      <w:r>
        <w:t xml:space="preserve">. Sections “The Four Script Stages” and “YouTube Analytics.” </w:t>
      </w:r>
      <w:hyperlink r:id="rId41">
        <w:r>
          <w:rPr>
            <w:color w:val="3A3A3A"/>
            <w:u w:val="single"/>
          </w:rPr>
          <w:t>https://aliabdaal.com/youtube/the-ultimate-guide-to-youtube/</w:t>
        </w:r>
      </w:hyperlink>
    </w:p>
    <w:p>
      <w:pPr>
        <w:pStyle w:val="SourceEntry"/>
      </w:pPr>
      <w:r>
        <w:t xml:space="preserve">[32] Abdaal, A. (2021). </w:t>
      </w:r>
      <w:r>
        <w:rPr>
          <w:i/>
        </w:rPr>
        <w:t>Triple your YouTube ad revenue</w:t>
      </w:r>
      <w:r>
        <w:t xml:space="preserve">. Section “Watch Time,” including first-party audience-retention screenshots. </w:t>
      </w:r>
      <w:hyperlink r:id="rId42">
        <w:r>
          <w:rPr>
            <w:color w:val="3A3A3A"/>
            <w:u w:val="single"/>
          </w:rPr>
          <w:t>https://aliabdaal.com/youtube/triple-your-youtube-ad-revenue/</w:t>
        </w:r>
      </w:hyperlink>
    </w:p>
    <w:p>
      <w:pPr>
        <w:pStyle w:val="Heading2"/>
      </w:pPr>
      <w:r>
        <w:t>Product source notes</w:t>
      </w:r>
    </w:p>
    <w:p>
      <w:pPr>
        <w:pStyle w:val="SourceEntry"/>
      </w:pPr>
      <w:r>
        <w:t xml:space="preserve">[P1] Editmaxxing. </w:t>
      </w:r>
      <w:r>
        <w:rPr>
          <w:i/>
        </w:rPr>
        <w:t>Hooks spec</w:t>
      </w:r>
      <w:r>
        <w:t xml:space="preserve">. Supplied internal product note, </w:t>
      </w:r>
      <w:r>
        <w:rPr>
          <w:rFonts w:ascii="Aptos Mono" w:hAnsi="Aptos Mono"/>
          <w:sz w:val="18"/>
        </w:rPr>
        <w:t>/Users/vanessakoh/Downloads/HOOKS-SPEC.md</w:t>
      </w:r>
      <w:r>
        <w:t>; sections “The core idea,” “Layer 3 — On-screen text,” “Rejection rules,” and “Generation contract.”</w:t>
      </w:r>
    </w:p>
    <w:p>
      <w:pPr>
        <w:pStyle w:val="SourceEntry"/>
      </w:pPr>
      <w:r>
        <w:t xml:space="preserve">[P2] Editmaxxing. </w:t>
      </w:r>
      <w:r>
        <w:rPr>
          <w:i/>
        </w:rPr>
        <w:t>Handoff context</w:t>
      </w:r>
      <w:r>
        <w:t xml:space="preserve">. Supplied internal product note, </w:t>
      </w:r>
      <w:r>
        <w:rPr>
          <w:rFonts w:ascii="Aptos Mono" w:hAnsi="Aptos Mono"/>
          <w:sz w:val="18"/>
        </w:rPr>
        <w:t>/Users/vanessakoh/Downloads/HANDOFF.md</w:t>
      </w:r>
      <w:r>
        <w:t>; sections “Product in one paragraph,” “The flow, as now designed,” and “What the film-body-first order buys you.”</w:t>
      </w:r>
    </w:p>
    <w:p>
      <w:pPr>
        <w:pStyle w:val="SourceEntry"/>
      </w:pPr>
      <w:r>
        <w:t>[P3] Editmaxxing current product brief. Requirements communicated for this report: short verbal hooks; longer, grounded on-screen mystery; simple zero-prop body actions; no exclamation marks; independent layer jobs; assertive mechanism explanations without guaranteed virality.</w:t>
      </w:r>
    </w:p>
    <w:p>
      <w:pPr>
        <w:pStyle w:val="Heading1"/>
      </w:pPr>
      <w:r>
        <w:t>Claim to source ledger</w:t>
      </w:r>
    </w:p>
    <w:tbl>
      <w:tblPr>
        <w:tblW w:type="auto" w:w="0"/>
        <w:jc w:val="left"/>
        <w:tblLayout w:type="fixed"/>
        <w:tblLook w:firstColumn="1" w:firstRow="1" w:lastColumn="0" w:lastRow="0" w:noHBand="0" w:noVBand="1" w:val="04A0"/>
      </w:tblPr>
      <w:tblGrid>
        <w:gridCol w:w="2513"/>
        <w:gridCol w:w="2513"/>
        <w:gridCol w:w="2513"/>
        <w:gridCol w:w="2513"/>
      </w:tblGrid>
      <w:tr>
        <w:trPr>
          <w:tblHeade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Claim family</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Evidence level</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Sources</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2B2B2B"/>
          </w:tcPr>
          <w:p>
            <w:pPr>
              <w:spacing w:after="0" w:line="245" w:lineRule="auto"/>
            </w:pPr>
            <w:r>
              <w:rPr>
                <w:rFonts w:ascii="Aptos" w:hAnsi="Aptos"/>
                <w:b/>
                <w:color w:val="FFFFFF"/>
                <w:sz w:val="16"/>
              </w:rPr>
              <w:t>Product use</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Specific information gaps can motivate information seeking and support memory</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1–3</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Named unknowns and verified payoff spans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Arousal and practical value relate to social transmission</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Direct for article sharing</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4–5</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Prefer real consequence or emotion already in footage</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Curiosity wording has nonlinear and sometimes negative selection effects</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Direct for headline clicks and selection</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6–7</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Avoid maximum vagueness and generic withholding</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Simpler headline language improves click response and memory</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Direct for headline clicks, adjacent for speech</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8</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One or two short spoken sentences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Duplicate or irrelevant multimedia can increase load and reduce learning</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9–11,17</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Additive text and controlled orthogonality</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Captions can support comprehension and word learning</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12,24</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Early readable text, with format limits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Motion onset and natural body movement can capture visual attention</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13–15</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One brief body-only action</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Direct gaze can hold visual attention</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16</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Direct-to-camera default</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Platform openings, text, and movement matter in ad guidance and analytics</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Platform guidance</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18–21</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Early measurement windows and safe-area design</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Self-reference improves memory</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22</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Specific behavior callouts, not generic audience labels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Processing fluency improves evaluations</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23</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Familiar words and clear render</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Meaningful pointing can guide attention</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Adjacent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25–26</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Allow pointing only toward actual referenced content</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Headline advice does not always predict causal direction</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Direct for headline clicks</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27</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Rank candidates experimentally</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Randomization supports causal product decisions</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Methods evidence</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28</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Controlled tests by layer</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Repeated peeking invalidates ordinary fixed-horizon inference</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Methods evidence</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29</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Precommit samples or use always-valid methods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Successful creators use opening design and retention analytics as operating tools</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Practitioner evidence, not causal proof</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30–32</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Define variables and request first-party analytics; do not copy rules blindly</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Organic hook patterns require outcome snapshots and matched within-creator comparisons</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Product research protocol</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28–32</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Build a versioned, citable Reel, TikTok, and Shorts corpus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Verbal and text hooks must be grounded in filmed body footage</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Product architecture</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P1–P3</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shd w:fill="F4F4F4"/>
          </w:tcPr>
          <w:p>
            <w:pPr>
              <w:spacing w:after="0" w:line="245" w:lineRule="auto"/>
            </w:pPr>
            <w:r>
              <w:rPr>
                <w:rFonts w:ascii="Aptos" w:hAnsi="Aptos"/>
                <w:sz w:val="16"/>
              </w:rPr>
              <w:t>Evidence objects and rejection gates</w:t>
            </w:r>
          </w:p>
        </w:tc>
      </w:tr>
      <w:tr>
        <w:trPr>
          <w:cantSplit/>
        </w:trPr>
        <w:tc>
          <w:tcPr>
            <w:tcW w:type="dxa" w:w="1307"/>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Physical hooks are optional, body-only, simple, and semantically neutral</w:t>
            </w:r>
          </w:p>
        </w:tc>
        <w:tc>
          <w:tcPr>
            <w:tcW w:type="dxa" w:w="3819"/>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Product requirement</w:t>
            </w:r>
          </w:p>
        </w:tc>
        <w:tc>
          <w:tcPr>
            <w:tcW w:type="dxa" w:w="2312"/>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P3</w:t>
            </w:r>
          </w:p>
        </w:tc>
        <w:tc>
          <w:tcPr>
            <w:tcW w:type="dxa" w:w="2613"/>
            <w:vAlign w:val="center"/>
            <w:tcBorders>
              <w:top w:val="single" w:sz="6" w:color="E3E3E3"/>
              <w:left w:val="single" w:sz="6" w:color="E3E3E3"/>
              <w:bottom w:val="single" w:sz="6" w:color="E3E3E3"/>
              <w:right w:val="single" w:sz="6" w:color="E3E3E3"/>
              <w:insideH w:val="single" w:sz="6" w:color="E3E3E3"/>
              <w:insideV w:val="single" w:sz="6" w:color="E3E3E3"/>
            </w:tcBorders>
            <w:tcMar>
              <w:top w:w="85" w:type="dxa"/>
              <w:start w:w="95" w:type="dxa"/>
              <w:bottom w:w="85" w:type="dxa"/>
              <w:end w:w="95" w:type="dxa"/>
            </w:tcMar>
          </w:tcPr>
          <w:p>
            <w:pPr>
              <w:spacing w:after="0" w:line="245" w:lineRule="auto"/>
            </w:pPr>
            <w:r>
              <w:rPr>
                <w:rFonts w:ascii="Aptos" w:hAnsi="Aptos"/>
                <w:sz w:val="16"/>
              </w:rPr>
              <w:t>Optional action selector with no explanation</w:t>
            </w:r>
          </w:p>
        </w:tc>
      </w:tr>
    </w:tbl>
    <w:p>
      <w:pPr>
        <w:spacing w:after="40" w:line="48" w:lineRule="auto"/>
      </w:pPr>
    </w:p>
    <w:sectPr w:rsidR="00FC693F" w:rsidRPr="0006063C" w:rsidSect="00034616">
      <w:headerReference w:type="default" r:id="rId9"/>
      <w:footerReference w:type="default" r:id="rId10"/>
      <w:pgSz w:w="12240" w:h="15840"/>
      <w:pgMar w:top="979" w:right="1094" w:bottom="950" w:left="1094" w:header="389"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737373"/>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37373"/>
        <w:sz w:val="15"/>
      </w:rPr>
      <w:t>EDITMAXXING  RESEARCH NOTE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4" w:line="259" w:lineRule="auto"/>
    </w:pPr>
    <w:rPr>
      <w:rFonts w:ascii="Aptos" w:hAnsi="Aptos"/>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7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Entry">
    <w:name w:val="Source Entry"/>
    <w:basedOn w:val="Normal"/>
    <w:pPr>
      <w:spacing w:after="80" w:line="245" w:lineRule="auto"/>
      <w:ind w:left="346" w:hanging="346"/>
    </w:pPr>
    <w:rPr>
      <w:rFonts w:ascii="Aptos" w:hAnsi="Aptos"/>
      <w:color w:val="2D2D2D"/>
      <w:sz w:val="17"/>
    </w:rPr>
  </w:style>
  <w:style w:type="paragraph" w:customStyle="1" w:styleId="CodeBlock">
    <w:name w:val="Code Block"/>
    <w:basedOn w:val="Normal"/>
    <w:pPr>
      <w:spacing w:before="40" w:after="40" w:line="240" w:lineRule="auto"/>
      <w:ind w:left="317" w:righ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7/0033-2909.116.1.75" TargetMode="External"/><Relationship Id="rId12" Type="http://schemas.openxmlformats.org/officeDocument/2006/relationships/hyperlink" Target="https://doi.org/10.1111/j.1467-9280.2009.02402.x" TargetMode="External"/><Relationship Id="rId13" Type="http://schemas.openxmlformats.org/officeDocument/2006/relationships/hyperlink" Target="https://doi.org/10.1016/j.neuron.2014.08.060" TargetMode="External"/><Relationship Id="rId14" Type="http://schemas.openxmlformats.org/officeDocument/2006/relationships/hyperlink" Target="https://doi.org/10.1509/jmr.10.0353" TargetMode="External"/><Relationship Id="rId15" Type="http://schemas.openxmlformats.org/officeDocument/2006/relationships/hyperlink" Target="https://doi.org/10.1016/j.ijresmar.2016.02.004" TargetMode="External"/><Relationship Id="rId16" Type="http://schemas.openxmlformats.org/officeDocument/2006/relationships/hyperlink" Target="https://doi.org/10.1038/s41598-024-81575-9" TargetMode="External"/><Relationship Id="rId17" Type="http://schemas.openxmlformats.org/officeDocument/2006/relationships/hyperlink" Target="https://doi.org/10.1177/1461444819863408" TargetMode="External"/><Relationship Id="rId18" Type="http://schemas.openxmlformats.org/officeDocument/2006/relationships/hyperlink" Target="https://doi.org/10.1126/sciadv.adn2555" TargetMode="External"/><Relationship Id="rId19" Type="http://schemas.openxmlformats.org/officeDocument/2006/relationships/hyperlink" Target="https://doi.org/10.1002/(SICI)1099-0720(199908)13:4%3C351::AID-ACP589%3E3.0.CO;2-6" TargetMode="External"/><Relationship Id="rId20" Type="http://schemas.openxmlformats.org/officeDocument/2006/relationships/hyperlink" Target="https://doi.org/10.1518/hfes.46.3.567.50405" TargetMode="External"/><Relationship Id="rId21" Type="http://schemas.openxmlformats.org/officeDocument/2006/relationships/hyperlink" Target="https://doi.org/10.1016/j.edurev.2012.05.003" TargetMode="External"/><Relationship Id="rId22" Type="http://schemas.openxmlformats.org/officeDocument/2006/relationships/hyperlink" Target="https://doi.org/10.1016/j.system.2013.07.013" TargetMode="External"/><Relationship Id="rId23" Type="http://schemas.openxmlformats.org/officeDocument/2006/relationships/hyperlink" Target="https://doi.org/10.1111/1467-9280.01458" TargetMode="External"/><Relationship Id="rId24" Type="http://schemas.openxmlformats.org/officeDocument/2006/relationships/hyperlink" Target="https://doi.org/10.3758/BF03194829" TargetMode="External"/><Relationship Id="rId25" Type="http://schemas.openxmlformats.org/officeDocument/2006/relationships/hyperlink" Target="https://doi.org/10.1016/j.cognition.2019.104029" TargetMode="External"/><Relationship Id="rId26" Type="http://schemas.openxmlformats.org/officeDocument/2006/relationships/hyperlink" Target="https://doi.org/10.1080/13506280444000157" TargetMode="External"/><Relationship Id="rId27" Type="http://schemas.openxmlformats.org/officeDocument/2006/relationships/hyperlink" Target="https://doi.org/10.1007/s10648-020-09522-4" TargetMode="External"/><Relationship Id="rId28" Type="http://schemas.openxmlformats.org/officeDocument/2006/relationships/hyperlink" Target="https://support.google.com/youtube/answer/9314415?hl=en" TargetMode="External"/><Relationship Id="rId29" Type="http://schemas.openxmlformats.org/officeDocument/2006/relationships/hyperlink" Target="https://ads.tiktok.com/business/en-US/blog/creative-that-drives-conversions" TargetMode="External"/><Relationship Id="rId30" Type="http://schemas.openxmlformats.org/officeDocument/2006/relationships/hyperlink" Target="https://ads.tiktok.com/business/library/TikTok_CreativeCodes_May2023.pdf" TargetMode="External"/><Relationship Id="rId31" Type="http://schemas.openxmlformats.org/officeDocument/2006/relationships/hyperlink" Target="https://support.google.com/youtube/answer/16559650?hl=en" TargetMode="External"/><Relationship Id="rId32" Type="http://schemas.openxmlformats.org/officeDocument/2006/relationships/hyperlink" Target="https://doi.org/10.1037/0033-2909.121.3.371" TargetMode="External"/><Relationship Id="rId33" Type="http://schemas.openxmlformats.org/officeDocument/2006/relationships/hyperlink" Target="https://doi.org/10.1111/1467-9280.00008" TargetMode="External"/><Relationship Id="rId34" Type="http://schemas.openxmlformats.org/officeDocument/2006/relationships/hyperlink" Target="https://doi.org/10.1080/15213269.2010.502873" TargetMode="External"/><Relationship Id="rId35" Type="http://schemas.openxmlformats.org/officeDocument/2006/relationships/hyperlink" Target="https://doi.org/10.1016/j.compedu.2018.10.006" TargetMode="External"/><Relationship Id="rId36" Type="http://schemas.openxmlformats.org/officeDocument/2006/relationships/hyperlink" Target="https://doi.org/10.1016/j.learninstruc.2021.101520" TargetMode="External"/><Relationship Id="rId37" Type="http://schemas.openxmlformats.org/officeDocument/2006/relationships/hyperlink" Target="https://doi.org/10.1287/mksc.2021.0018" TargetMode="External"/><Relationship Id="rId38" Type="http://schemas.openxmlformats.org/officeDocument/2006/relationships/hyperlink" Target="https://doi.org/10.1007/s10618-008-0114-1" TargetMode="External"/><Relationship Id="rId39" Type="http://schemas.openxmlformats.org/officeDocument/2006/relationships/hyperlink" Target="https://doi.org/10.1145/3097983.3097992" TargetMode="External"/><Relationship Id="rId40" Type="http://schemas.openxmlformats.org/officeDocument/2006/relationships/hyperlink" Target="https://lexfridman.com/mrbeast" TargetMode="External"/><Relationship Id="rId41" Type="http://schemas.openxmlformats.org/officeDocument/2006/relationships/hyperlink" Target="https://aliabdaal.com/youtube/the-ultimate-guide-to-youtube/" TargetMode="External"/><Relationship Id="rId42" Type="http://schemas.openxmlformats.org/officeDocument/2006/relationships/hyperlink" Target="https://aliabdaal.com/youtube/triple-your-youtube-ad-reven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Hook Psychology and Product Rules</dc:title>
  <dc:subject>Evidence base and product rules for verbal, on-screen, and physical video hooks</dc:subject>
  <dc:creator>python-docx</dc:creator>
  <cp:keywords>video hooks, virality, retention, curiosity, on-screen text, motion, A/B testing</cp:keywords>
  <dc:description>Sources and evidence limitations are included in the document.</dc:description>
  <cp:lastModifiedBy/>
  <cp:revision>1</cp:revision>
  <dcterms:created xsi:type="dcterms:W3CDTF">2013-12-23T23:15:00Z</dcterms:created>
  <dcterms:modified xsi:type="dcterms:W3CDTF">2013-12-23T23:15:00Z</dcterms:modified>
  <cp:category/>
</cp:coreProperties>
</file>