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22"/>
          <w:szCs w:val="22"/>
        </w:rPr>
        <w:t xml:space="preserve"/>
      </w:r>
    </w:p>
    <w:p>
      <w:pPr>
        <w:spacing w:after="200"/>
        <w:jc w:val="center"/>
      </w:pPr>
      <w:r>
        <w:rPr>
          <w:rFonts w:ascii="Arial" w:cs="Arial" w:eastAsia="Arial" w:hAnsi="Arial"/>
          <w:b/>
          <w:bCs/>
          <w:color w:val="64748B"/>
          <w:spacing w:val="200"/>
          <w:sz w:val="24"/>
          <w:szCs w:val="24"/>
        </w:rPr>
        <w:t xml:space="preserve">PROJECT REPORT</w:t>
      </w:r>
    </w:p>
    <w:p>
      <w:pPr>
        <w:spacing w:after="160"/>
        <w:jc w:val="center"/>
      </w:pPr>
      <w:r>
        <w:rPr>
          <w:rFonts w:ascii="Arial" w:cs="Arial" w:eastAsia="Arial" w:hAnsi="Arial"/>
          <w:b/>
          <w:bCs/>
          <w:color w:val="0A2342"/>
          <w:sz w:val="52"/>
          <w:szCs w:val="52"/>
        </w:rPr>
        <w:t xml:space="preserve">Malaria Detection System</w:t>
      </w:r>
    </w:p>
    <w:p>
      <w:pPr>
        <w:spacing w:after="120"/>
        <w:jc w:val="center"/>
      </w:pPr>
      <w:r>
        <w:rPr>
          <w:rFonts w:ascii="Arial" w:cs="Arial" w:eastAsia="Arial" w:hAnsi="Arial"/>
          <w:b/>
          <w:bCs/>
          <w:color w:val="1C7293"/>
          <w:sz w:val="36"/>
          <w:szCs w:val="36"/>
        </w:rPr>
        <w:t xml:space="preserve">Using Convolutional Neural Networks</w:t>
      </w:r>
    </w:p>
    <w:p>
      <w:pPr>
        <w:spacing w:after="480"/>
        <w:jc w:val="center"/>
      </w:pPr>
      <w:r>
        <w:rPr>
          <w:rFonts w:ascii="Arial" w:cs="Arial" w:eastAsia="Arial" w:hAnsi="Arial"/>
          <w:b/>
          <w:bCs/>
          <w:color w:val="1C7293"/>
          <w:sz w:val="36"/>
          <w:szCs w:val="36"/>
        </w:rPr>
        <w:t xml:space="preserve">&amp; Transfer Learning</w:t>
      </w:r>
    </w:p>
    <w:p>
      <w:pPr>
        <w:pBdr>
          <w:top w:val="single" w:color="1C7293" w:sz="4"/>
          <w:bottom w:val="single" w:color="1C7293" w:sz="4"/>
        </w:pBdr>
        <w:spacing w:after="0" w:before="0"/>
        <w:jc w:val="center"/>
      </w:pPr>
      <w:r>
        <w:rPr>
          <w:sz w:val="4"/>
          <w:szCs w:val="4"/>
        </w:rPr>
        <w:t xml:space="preserve"> </w:t>
      </w:r>
    </w:p>
    <w:p>
      <w:pPr>
        <w:spacing w:after="400"/>
      </w:pPr>
      <w:r>
        <w:t xml:space="preserve"/>
      </w:r>
    </w:p>
    <w:p>
      <w:pPr>
        <w:spacing w:after="120"/>
        <w:jc w:val="center"/>
      </w:pPr>
      <w:r>
        <w:rPr>
          <w:rFonts w:ascii="Arial" w:cs="Arial" w:eastAsia="Arial" w:hAnsi="Arial"/>
          <w:i/>
          <w:iCs/>
          <w:color w:val="64748B"/>
          <w:sz w:val="22"/>
          <w:szCs w:val="22"/>
        </w:rPr>
        <w:t xml:space="preserve">Submitted in partial fulfilment of the requirements for the degree of</w:t>
      </w:r>
    </w:p>
    <w:p>
      <w:pPr>
        <w:spacing w:after="480"/>
        <w:jc w:val="center"/>
      </w:pPr>
      <w:r>
        <w:rPr>
          <w:rFonts w:ascii="Arial" w:cs="Arial" w:eastAsia="Arial" w:hAnsi="Arial"/>
          <w:b/>
          <w:bCs/>
          <w:color w:val="0A2342"/>
          <w:sz w:val="24"/>
          <w:szCs w:val="24"/>
        </w:rPr>
        <w:t xml:space="preserve">Bachelor of Technology in Computer Science &amp; Engineering</w:t>
      </w:r>
    </w:p>
    <w:p>
      <w:pPr>
        <w:spacing w:after="80"/>
        <w:jc w:val="center"/>
      </w:pPr>
      <w:r>
        <w:rPr>
          <w:rFonts w:ascii="Arial" w:cs="Arial" w:eastAsia="Arial" w:hAnsi="Arial"/>
          <w:b/>
          <w:bCs/>
          <w:color w:val="0A2342"/>
          <w:sz w:val="22"/>
          <w:szCs w:val="22"/>
        </w:rPr>
        <w:t xml:space="preserve">Submitted by:</w:t>
      </w:r>
    </w:p>
    <w:p>
      <w:pPr>
        <w:spacing w:after="480"/>
        <w:jc w:val="center"/>
      </w:pPr>
      <w:r>
        <w:rPr>
          <w:rFonts w:ascii="Arial" w:cs="Arial" w:eastAsia="Arial" w:hAnsi="Arial"/>
          <w:b/>
          <w:bCs/>
          <w:color w:val="1C7293"/>
          <w:sz w:val="26"/>
          <w:szCs w:val="26"/>
        </w:rPr>
        <w:t xml:space="preserve">Harnoor Kaur</w:t>
      </w:r>
    </w:p>
    <w:p>
      <w:pPr>
        <w:spacing w:after="80"/>
        <w:jc w:val="center"/>
      </w:pPr>
      <w:r>
        <w:rPr>
          <w:rFonts w:ascii="Arial" w:cs="Arial" w:eastAsia="Arial" w:hAnsi="Arial"/>
          <w:color w:val="64748B"/>
          <w:sz w:val="22"/>
          <w:szCs w:val="22"/>
        </w:rPr>
        <w:t xml:space="preserve">Academic Year: 2025–26</w:t>
      </w:r>
    </w:p>
    <w:p>
      <w:pPr>
        <w:spacing w:after="80"/>
        <w:jc w:val="center"/>
      </w:pPr>
      <w:r>
        <w:rPr>
          <w:rFonts w:ascii="Arial" w:cs="Arial" w:eastAsia="Arial" w:hAnsi="Arial"/>
          <w:color w:val="64748B"/>
          <w:sz w:val="22"/>
          <w:szCs w:val="22"/>
        </w:rPr>
        <w:t xml:space="preserve">Department of Computer Science &amp; Engineering</w:t>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Abstract</w:t>
      </w:r>
    </w:p>
    <w:p>
      <w:pPr>
        <w:spacing w:after="140"/>
        <w:jc w:val="both"/>
      </w:pPr>
      <w:r>
        <w:rPr>
          <w:rFonts w:ascii="Arial" w:cs="Arial" w:eastAsia="Arial" w:hAnsi="Arial"/>
          <w:color w:val="1E293B"/>
          <w:sz w:val="22"/>
          <w:szCs w:val="22"/>
        </w:rPr>
        <w:t xml:space="preserve">Malaria remains one of the most devastating infectious diseases globally, claiming over 619,000 lives annually and affecting more than 247 million people, predominantly in Sub-Saharan Africa and South Asia. Conventional diagnosis relies on manual microscopic examination of Giemsa-stained blood smears, a process that is time-consuming, requires highly trained personnel, and is prone to human error — particularly in resource-limited settings where diagnostic infrastructure is inadequate.</w:t>
      </w:r>
    </w:p>
    <w:p>
      <w:pPr>
        <w:spacing w:after="140"/>
        <w:jc w:val="both"/>
      </w:pPr>
      <w:r>
        <w:rPr>
          <w:rFonts w:ascii="Arial" w:cs="Arial" w:eastAsia="Arial" w:hAnsi="Arial"/>
          <w:color w:val="1E293B"/>
          <w:sz w:val="22"/>
          <w:szCs w:val="22"/>
        </w:rPr>
        <w:t xml:space="preserve">This project presents an automated malaria detection system leveraging deep learning, specifically a Convolutional Neural Network (CNN) built upon the MobileNetV2 architecture with transfer learning from ImageNet. The model is trained and evaluated on the NIH Malaria Cell Images Dataset comprising 27,558 blood cell microscopy images equally split between Parasitized and Uninfected classes. A two-phase training strategy is employed: first, the classification head is trained while the MobileNetV2 backbone is frozen; then, the top 40 layers of the backbone are selectively fine-tuned at a lower learning rate to adapt pretrained features to the malaria detection domain.</w:t>
      </w:r>
    </w:p>
    <w:p>
      <w:pPr>
        <w:spacing w:after="140"/>
        <w:jc w:val="both"/>
      </w:pPr>
      <w:r>
        <w:rPr>
          <w:rFonts w:ascii="Arial" w:cs="Arial" w:eastAsia="Arial" w:hAnsi="Arial"/>
          <w:color w:val="1E293B"/>
          <w:sz w:val="22"/>
          <w:szCs w:val="22"/>
        </w:rPr>
        <w:t xml:space="preserve">The system achieves a test accuracy of 97.2%, with sensitivity (recall) of 97.5% and specificity of 96.9%, outperforming custom CNN baselines and approaching the performance of state-of-the-art models. An interactive web application is developed using Streamlit, enabling end-users to upload blood cell images and receive instant predictions with confidence scores. The system demonstrates the potential of AI-powered tools to augment clinical decision-making and improve malaria screening accessibility in underserved regions.</w:t>
      </w:r>
    </w:p>
    <w:p>
      <w:pPr>
        <w:spacing w:after="140"/>
        <w:jc w:val="both"/>
      </w:pPr>
      <w:r>
        <w:rPr>
          <w:rFonts w:ascii="Arial" w:cs="Arial" w:eastAsia="Arial" w:hAnsi="Arial"/>
          <w:color w:val="1E293B"/>
          <w:sz w:val="22"/>
          <w:szCs w:val="22"/>
        </w:rPr>
        <w:t xml:space="preserve">Keywords: Malaria Detection, Convolutional Neural Network, Transfer Learning, MobileNetV2, Deep Learning, Medical Image Classification, Streamlit, TensorFlow.</w:t>
      </w:r>
    </w:p>
    <w:p>
      <w:pPr>
        <w:spacing w:after="100"/>
      </w:pPr>
      <w:r>
        <w:t xml:space="preserve"/>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Table of Contents</w:t>
      </w:r>
    </w:p>
    <w:p>
      <w:pPr>
        <w:tabs>
          <w:tab w:val="right" w:pos="9026" w:leader="dot"/>
        </w:tabs>
        <w:spacing w:after="80"/>
      </w:pPr>
      <w:r>
        <w:rPr>
          <w:rFonts w:ascii="Arial" w:cs="Arial" w:eastAsia="Arial" w:hAnsi="Arial"/>
          <w:b/>
          <w:bCs/>
          <w:color w:val="0A2342"/>
          <w:sz w:val="20"/>
          <w:szCs w:val="20"/>
        </w:rPr>
        <w:t xml:space="preserve">1. Introduction</w:t>
      </w:r>
      <w:r>
        <w:rPr>
          <w:rFonts w:ascii="Arial" w:cs="Arial" w:eastAsia="Arial" w:hAnsi="Arial"/>
          <w:color w:val="64748B"/>
          <w:sz w:val="20"/>
          <w:szCs w:val="20"/>
        </w:rPr>
        <w:t xml:space="preserve">	4</w:t>
      </w:r>
    </w:p>
    <w:p>
      <w:pPr>
        <w:tabs>
          <w:tab w:val="right" w:pos="9026" w:leader="dot"/>
        </w:tabs>
        <w:spacing w:after="80"/>
      </w:pPr>
      <w:r>
        <w:rPr>
          <w:rFonts w:ascii="Arial" w:cs="Arial" w:eastAsia="Arial" w:hAnsi="Arial"/>
          <w:b w:val="false"/>
          <w:bCs w:val="false"/>
          <w:color w:val="64748B"/>
          <w:sz w:val="20"/>
          <w:szCs w:val="20"/>
        </w:rPr>
        <w:t xml:space="preserve">   1.1 Background and Motivation</w:t>
      </w:r>
      <w:r>
        <w:rPr>
          <w:rFonts w:ascii="Arial" w:cs="Arial" w:eastAsia="Arial" w:hAnsi="Arial"/>
          <w:color w:val="64748B"/>
          <w:sz w:val="20"/>
          <w:szCs w:val="20"/>
        </w:rPr>
        <w:t xml:space="preserve">	4</w:t>
      </w:r>
    </w:p>
    <w:p>
      <w:pPr>
        <w:tabs>
          <w:tab w:val="right" w:pos="9026" w:leader="dot"/>
        </w:tabs>
        <w:spacing w:after="80"/>
      </w:pPr>
      <w:r>
        <w:rPr>
          <w:rFonts w:ascii="Arial" w:cs="Arial" w:eastAsia="Arial" w:hAnsi="Arial"/>
          <w:b w:val="false"/>
          <w:bCs w:val="false"/>
          <w:color w:val="64748B"/>
          <w:sz w:val="20"/>
          <w:szCs w:val="20"/>
        </w:rPr>
        <w:t xml:space="preserve">   1.2 Problem Statement</w:t>
      </w:r>
      <w:r>
        <w:rPr>
          <w:rFonts w:ascii="Arial" w:cs="Arial" w:eastAsia="Arial" w:hAnsi="Arial"/>
          <w:color w:val="64748B"/>
          <w:sz w:val="20"/>
          <w:szCs w:val="20"/>
        </w:rPr>
        <w:t xml:space="preserve">	4</w:t>
      </w:r>
    </w:p>
    <w:p>
      <w:pPr>
        <w:tabs>
          <w:tab w:val="right" w:pos="9026" w:leader="dot"/>
        </w:tabs>
        <w:spacing w:after="80"/>
      </w:pPr>
      <w:r>
        <w:rPr>
          <w:rFonts w:ascii="Arial" w:cs="Arial" w:eastAsia="Arial" w:hAnsi="Arial"/>
          <w:b w:val="false"/>
          <w:bCs w:val="false"/>
          <w:color w:val="64748B"/>
          <w:sz w:val="20"/>
          <w:szCs w:val="20"/>
        </w:rPr>
        <w:t xml:space="preserve">   1.3 Objectives</w:t>
      </w:r>
      <w:r>
        <w:rPr>
          <w:rFonts w:ascii="Arial" w:cs="Arial" w:eastAsia="Arial" w:hAnsi="Arial"/>
          <w:color w:val="64748B"/>
          <w:sz w:val="20"/>
          <w:szCs w:val="20"/>
        </w:rPr>
        <w:t xml:space="preserve">	5</w:t>
      </w:r>
    </w:p>
    <w:p>
      <w:pPr>
        <w:tabs>
          <w:tab w:val="right" w:pos="9026" w:leader="dot"/>
        </w:tabs>
        <w:spacing w:after="80"/>
      </w:pPr>
      <w:r>
        <w:rPr>
          <w:rFonts w:ascii="Arial" w:cs="Arial" w:eastAsia="Arial" w:hAnsi="Arial"/>
          <w:b w:val="false"/>
          <w:bCs w:val="false"/>
          <w:color w:val="64748B"/>
          <w:sz w:val="20"/>
          <w:szCs w:val="20"/>
        </w:rPr>
        <w:t xml:space="preserve">   1.4 Scope of the Project</w:t>
      </w:r>
      <w:r>
        <w:rPr>
          <w:rFonts w:ascii="Arial" w:cs="Arial" w:eastAsia="Arial" w:hAnsi="Arial"/>
          <w:color w:val="64748B"/>
          <w:sz w:val="20"/>
          <w:szCs w:val="20"/>
        </w:rPr>
        <w:t xml:space="preserve">	5</w:t>
      </w:r>
    </w:p>
    <w:p>
      <w:pPr>
        <w:tabs>
          <w:tab w:val="right" w:pos="9026" w:leader="dot"/>
        </w:tabs>
        <w:spacing w:after="80"/>
      </w:pPr>
      <w:r>
        <w:rPr>
          <w:rFonts w:ascii="Arial" w:cs="Arial" w:eastAsia="Arial" w:hAnsi="Arial"/>
          <w:b/>
          <w:bCs/>
          <w:color w:val="0A2342"/>
          <w:sz w:val="20"/>
          <w:szCs w:val="20"/>
        </w:rPr>
        <w:t xml:space="preserve">2. Literature Review</w:t>
      </w:r>
      <w:r>
        <w:rPr>
          <w:rFonts w:ascii="Arial" w:cs="Arial" w:eastAsia="Arial" w:hAnsi="Arial"/>
          <w:color w:val="64748B"/>
          <w:sz w:val="20"/>
          <w:szCs w:val="20"/>
        </w:rPr>
        <w:t xml:space="preserve">	6</w:t>
      </w:r>
    </w:p>
    <w:p>
      <w:pPr>
        <w:tabs>
          <w:tab w:val="right" w:pos="9026" w:leader="dot"/>
        </w:tabs>
        <w:spacing w:after="80"/>
      </w:pPr>
      <w:r>
        <w:rPr>
          <w:rFonts w:ascii="Arial" w:cs="Arial" w:eastAsia="Arial" w:hAnsi="Arial"/>
          <w:b/>
          <w:bCs/>
          <w:color w:val="0A2342"/>
          <w:sz w:val="20"/>
          <w:szCs w:val="20"/>
        </w:rPr>
        <w:t xml:space="preserve">3. Dataset</w:t>
      </w:r>
      <w:r>
        <w:rPr>
          <w:rFonts w:ascii="Arial" w:cs="Arial" w:eastAsia="Arial" w:hAnsi="Arial"/>
          <w:color w:val="64748B"/>
          <w:sz w:val="20"/>
          <w:szCs w:val="20"/>
        </w:rPr>
        <w:t xml:space="preserve">	7</w:t>
      </w:r>
    </w:p>
    <w:p>
      <w:pPr>
        <w:tabs>
          <w:tab w:val="right" w:pos="9026" w:leader="dot"/>
        </w:tabs>
        <w:spacing w:after="80"/>
      </w:pPr>
      <w:r>
        <w:rPr>
          <w:rFonts w:ascii="Arial" w:cs="Arial" w:eastAsia="Arial" w:hAnsi="Arial"/>
          <w:b w:val="false"/>
          <w:bCs w:val="false"/>
          <w:color w:val="64748B"/>
          <w:sz w:val="20"/>
          <w:szCs w:val="20"/>
        </w:rPr>
        <w:t xml:space="preserve">   3.1 Dataset Description</w:t>
      </w:r>
      <w:r>
        <w:rPr>
          <w:rFonts w:ascii="Arial" w:cs="Arial" w:eastAsia="Arial" w:hAnsi="Arial"/>
          <w:color w:val="64748B"/>
          <w:sz w:val="20"/>
          <w:szCs w:val="20"/>
        </w:rPr>
        <w:t xml:space="preserve">	7</w:t>
      </w:r>
    </w:p>
    <w:p>
      <w:pPr>
        <w:tabs>
          <w:tab w:val="right" w:pos="9026" w:leader="dot"/>
        </w:tabs>
        <w:spacing w:after="80"/>
      </w:pPr>
      <w:r>
        <w:rPr>
          <w:rFonts w:ascii="Arial" w:cs="Arial" w:eastAsia="Arial" w:hAnsi="Arial"/>
          <w:b w:val="false"/>
          <w:bCs w:val="false"/>
          <w:color w:val="64748B"/>
          <w:sz w:val="20"/>
          <w:szCs w:val="20"/>
        </w:rPr>
        <w:t xml:space="preserve">   3.2 Data Distribution</w:t>
      </w:r>
      <w:r>
        <w:rPr>
          <w:rFonts w:ascii="Arial" w:cs="Arial" w:eastAsia="Arial" w:hAnsi="Arial"/>
          <w:color w:val="64748B"/>
          <w:sz w:val="20"/>
          <w:szCs w:val="20"/>
        </w:rPr>
        <w:t xml:space="preserve">	7</w:t>
      </w:r>
    </w:p>
    <w:p>
      <w:pPr>
        <w:tabs>
          <w:tab w:val="right" w:pos="9026" w:leader="dot"/>
        </w:tabs>
        <w:spacing w:after="80"/>
      </w:pPr>
      <w:r>
        <w:rPr>
          <w:rFonts w:ascii="Arial" w:cs="Arial" w:eastAsia="Arial" w:hAnsi="Arial"/>
          <w:b w:val="false"/>
          <w:bCs w:val="false"/>
          <w:color w:val="64748B"/>
          <w:sz w:val="20"/>
          <w:szCs w:val="20"/>
        </w:rPr>
        <w:t xml:space="preserve">   3.3 Data Preprocessing</w:t>
      </w:r>
      <w:r>
        <w:rPr>
          <w:rFonts w:ascii="Arial" w:cs="Arial" w:eastAsia="Arial" w:hAnsi="Arial"/>
          <w:color w:val="64748B"/>
          <w:sz w:val="20"/>
          <w:szCs w:val="20"/>
        </w:rPr>
        <w:t xml:space="preserve">	7</w:t>
      </w:r>
    </w:p>
    <w:p>
      <w:pPr>
        <w:tabs>
          <w:tab w:val="right" w:pos="9026" w:leader="dot"/>
        </w:tabs>
        <w:spacing w:after="80"/>
      </w:pPr>
      <w:r>
        <w:rPr>
          <w:rFonts w:ascii="Arial" w:cs="Arial" w:eastAsia="Arial" w:hAnsi="Arial"/>
          <w:b w:val="false"/>
          <w:bCs w:val="false"/>
          <w:color w:val="64748B"/>
          <w:sz w:val="20"/>
          <w:szCs w:val="20"/>
        </w:rPr>
        <w:t xml:space="preserve">   3.4 Data Augmentation</w:t>
      </w:r>
      <w:r>
        <w:rPr>
          <w:rFonts w:ascii="Arial" w:cs="Arial" w:eastAsia="Arial" w:hAnsi="Arial"/>
          <w:color w:val="64748B"/>
          <w:sz w:val="20"/>
          <w:szCs w:val="20"/>
        </w:rPr>
        <w:t xml:space="preserve">	8</w:t>
      </w:r>
    </w:p>
    <w:p>
      <w:pPr>
        <w:tabs>
          <w:tab w:val="right" w:pos="9026" w:leader="dot"/>
        </w:tabs>
        <w:spacing w:after="80"/>
      </w:pPr>
      <w:r>
        <w:rPr>
          <w:rFonts w:ascii="Arial" w:cs="Arial" w:eastAsia="Arial" w:hAnsi="Arial"/>
          <w:b/>
          <w:bCs/>
          <w:color w:val="0A2342"/>
          <w:sz w:val="20"/>
          <w:szCs w:val="20"/>
        </w:rPr>
        <w:t xml:space="preserve">4. Methodology</w:t>
      </w:r>
      <w:r>
        <w:rPr>
          <w:rFonts w:ascii="Arial" w:cs="Arial" w:eastAsia="Arial" w:hAnsi="Arial"/>
          <w:color w:val="64748B"/>
          <w:sz w:val="20"/>
          <w:szCs w:val="20"/>
        </w:rPr>
        <w:t xml:space="preserve">	9</w:t>
      </w:r>
    </w:p>
    <w:p>
      <w:pPr>
        <w:tabs>
          <w:tab w:val="right" w:pos="9026" w:leader="dot"/>
        </w:tabs>
        <w:spacing w:after="80"/>
      </w:pPr>
      <w:r>
        <w:rPr>
          <w:rFonts w:ascii="Arial" w:cs="Arial" w:eastAsia="Arial" w:hAnsi="Arial"/>
          <w:b w:val="false"/>
          <w:bCs w:val="false"/>
          <w:color w:val="64748B"/>
          <w:sz w:val="20"/>
          <w:szCs w:val="20"/>
        </w:rPr>
        <w:t xml:space="preserve">   4.1 System Overview</w:t>
      </w:r>
      <w:r>
        <w:rPr>
          <w:rFonts w:ascii="Arial" w:cs="Arial" w:eastAsia="Arial" w:hAnsi="Arial"/>
          <w:color w:val="64748B"/>
          <w:sz w:val="20"/>
          <w:szCs w:val="20"/>
        </w:rPr>
        <w:t xml:space="preserve">	9</w:t>
      </w:r>
    </w:p>
    <w:p>
      <w:pPr>
        <w:tabs>
          <w:tab w:val="right" w:pos="9026" w:leader="dot"/>
        </w:tabs>
        <w:spacing w:after="80"/>
      </w:pPr>
      <w:r>
        <w:rPr>
          <w:rFonts w:ascii="Arial" w:cs="Arial" w:eastAsia="Arial" w:hAnsi="Arial"/>
          <w:b w:val="false"/>
          <w:bCs w:val="false"/>
          <w:color w:val="64748B"/>
          <w:sz w:val="20"/>
          <w:szCs w:val="20"/>
        </w:rPr>
        <w:t xml:space="preserve">   4.2 MobileNetV2 Architecture</w:t>
      </w:r>
      <w:r>
        <w:rPr>
          <w:rFonts w:ascii="Arial" w:cs="Arial" w:eastAsia="Arial" w:hAnsi="Arial"/>
          <w:color w:val="64748B"/>
          <w:sz w:val="20"/>
          <w:szCs w:val="20"/>
        </w:rPr>
        <w:t xml:space="preserve">	9</w:t>
      </w:r>
    </w:p>
    <w:p>
      <w:pPr>
        <w:tabs>
          <w:tab w:val="right" w:pos="9026" w:leader="dot"/>
        </w:tabs>
        <w:spacing w:after="80"/>
      </w:pPr>
      <w:r>
        <w:rPr>
          <w:rFonts w:ascii="Arial" w:cs="Arial" w:eastAsia="Arial" w:hAnsi="Arial"/>
          <w:b w:val="false"/>
          <w:bCs w:val="false"/>
          <w:color w:val="64748B"/>
          <w:sz w:val="20"/>
          <w:szCs w:val="20"/>
        </w:rPr>
        <w:t xml:space="preserve">   4.3 Classification Head</w:t>
      </w:r>
      <w:r>
        <w:rPr>
          <w:rFonts w:ascii="Arial" w:cs="Arial" w:eastAsia="Arial" w:hAnsi="Arial"/>
          <w:color w:val="64748B"/>
          <w:sz w:val="20"/>
          <w:szCs w:val="20"/>
        </w:rPr>
        <w:t xml:space="preserve">	10</w:t>
      </w:r>
    </w:p>
    <w:p>
      <w:pPr>
        <w:tabs>
          <w:tab w:val="right" w:pos="9026" w:leader="dot"/>
        </w:tabs>
        <w:spacing w:after="80"/>
      </w:pPr>
      <w:r>
        <w:rPr>
          <w:rFonts w:ascii="Arial" w:cs="Arial" w:eastAsia="Arial" w:hAnsi="Arial"/>
          <w:b w:val="false"/>
          <w:bCs w:val="false"/>
          <w:color w:val="64748B"/>
          <w:sz w:val="20"/>
          <w:szCs w:val="20"/>
        </w:rPr>
        <w:t xml:space="preserve">   4.4 Two-Phase Training Strategy</w:t>
      </w:r>
      <w:r>
        <w:rPr>
          <w:rFonts w:ascii="Arial" w:cs="Arial" w:eastAsia="Arial" w:hAnsi="Arial"/>
          <w:color w:val="64748B"/>
          <w:sz w:val="20"/>
          <w:szCs w:val="20"/>
        </w:rPr>
        <w:t xml:space="preserve">	10</w:t>
      </w:r>
    </w:p>
    <w:p>
      <w:pPr>
        <w:tabs>
          <w:tab w:val="right" w:pos="9026" w:leader="dot"/>
        </w:tabs>
        <w:spacing w:after="80"/>
      </w:pPr>
      <w:r>
        <w:rPr>
          <w:rFonts w:ascii="Arial" w:cs="Arial" w:eastAsia="Arial" w:hAnsi="Arial"/>
          <w:b w:val="false"/>
          <w:bCs w:val="false"/>
          <w:color w:val="64748B"/>
          <w:sz w:val="20"/>
          <w:szCs w:val="20"/>
        </w:rPr>
        <w:t xml:space="preserve">   4.5 Loss Function and Optimiser</w:t>
      </w:r>
      <w:r>
        <w:rPr>
          <w:rFonts w:ascii="Arial" w:cs="Arial" w:eastAsia="Arial" w:hAnsi="Arial"/>
          <w:color w:val="64748B"/>
          <w:sz w:val="20"/>
          <w:szCs w:val="20"/>
        </w:rPr>
        <w:t xml:space="preserve">	11</w:t>
      </w:r>
    </w:p>
    <w:p>
      <w:pPr>
        <w:tabs>
          <w:tab w:val="right" w:pos="9026" w:leader="dot"/>
        </w:tabs>
        <w:spacing w:after="80"/>
      </w:pPr>
      <w:r>
        <w:rPr>
          <w:rFonts w:ascii="Arial" w:cs="Arial" w:eastAsia="Arial" w:hAnsi="Arial"/>
          <w:b w:val="false"/>
          <w:bCs w:val="false"/>
          <w:color w:val="64748B"/>
          <w:sz w:val="20"/>
          <w:szCs w:val="20"/>
        </w:rPr>
        <w:t xml:space="preserve">   4.6 Callbacks</w:t>
      </w:r>
      <w:r>
        <w:rPr>
          <w:rFonts w:ascii="Arial" w:cs="Arial" w:eastAsia="Arial" w:hAnsi="Arial"/>
          <w:color w:val="64748B"/>
          <w:sz w:val="20"/>
          <w:szCs w:val="20"/>
        </w:rPr>
        <w:t xml:space="preserve">	11</w:t>
      </w:r>
    </w:p>
    <w:p>
      <w:pPr>
        <w:tabs>
          <w:tab w:val="right" w:pos="9026" w:leader="dot"/>
        </w:tabs>
        <w:spacing w:after="80"/>
      </w:pPr>
      <w:r>
        <w:rPr>
          <w:rFonts w:ascii="Arial" w:cs="Arial" w:eastAsia="Arial" w:hAnsi="Arial"/>
          <w:b/>
          <w:bCs/>
          <w:color w:val="0A2342"/>
          <w:sz w:val="20"/>
          <w:szCs w:val="20"/>
        </w:rPr>
        <w:t xml:space="preserve">5. Implementation</w:t>
      </w:r>
      <w:r>
        <w:rPr>
          <w:rFonts w:ascii="Arial" w:cs="Arial" w:eastAsia="Arial" w:hAnsi="Arial"/>
          <w:color w:val="64748B"/>
          <w:sz w:val="20"/>
          <w:szCs w:val="20"/>
        </w:rPr>
        <w:t xml:space="preserve">	12</w:t>
      </w:r>
    </w:p>
    <w:p>
      <w:pPr>
        <w:tabs>
          <w:tab w:val="right" w:pos="9026" w:leader="dot"/>
        </w:tabs>
        <w:spacing w:after="80"/>
      </w:pPr>
      <w:r>
        <w:rPr>
          <w:rFonts w:ascii="Arial" w:cs="Arial" w:eastAsia="Arial" w:hAnsi="Arial"/>
          <w:b w:val="false"/>
          <w:bCs w:val="false"/>
          <w:color w:val="64748B"/>
          <w:sz w:val="20"/>
          <w:szCs w:val="20"/>
        </w:rPr>
        <w:t xml:space="preserve">   5.1 Development Environment</w:t>
      </w:r>
      <w:r>
        <w:rPr>
          <w:rFonts w:ascii="Arial" w:cs="Arial" w:eastAsia="Arial" w:hAnsi="Arial"/>
          <w:color w:val="64748B"/>
          <w:sz w:val="20"/>
          <w:szCs w:val="20"/>
        </w:rPr>
        <w:t xml:space="preserve">	12</w:t>
      </w:r>
    </w:p>
    <w:p>
      <w:pPr>
        <w:tabs>
          <w:tab w:val="right" w:pos="9026" w:leader="dot"/>
        </w:tabs>
        <w:spacing w:after="80"/>
      </w:pPr>
      <w:r>
        <w:rPr>
          <w:rFonts w:ascii="Arial" w:cs="Arial" w:eastAsia="Arial" w:hAnsi="Arial"/>
          <w:b w:val="false"/>
          <w:bCs w:val="false"/>
          <w:color w:val="64748B"/>
          <w:sz w:val="20"/>
          <w:szCs w:val="20"/>
        </w:rPr>
        <w:t xml:space="preserve">   5.2 Training Script (train.py)</w:t>
      </w:r>
      <w:r>
        <w:rPr>
          <w:rFonts w:ascii="Arial" w:cs="Arial" w:eastAsia="Arial" w:hAnsi="Arial"/>
          <w:color w:val="64748B"/>
          <w:sz w:val="20"/>
          <w:szCs w:val="20"/>
        </w:rPr>
        <w:t xml:space="preserve">	12</w:t>
      </w:r>
    </w:p>
    <w:p>
      <w:pPr>
        <w:tabs>
          <w:tab w:val="right" w:pos="9026" w:leader="dot"/>
        </w:tabs>
        <w:spacing w:after="80"/>
      </w:pPr>
      <w:r>
        <w:rPr>
          <w:rFonts w:ascii="Arial" w:cs="Arial" w:eastAsia="Arial" w:hAnsi="Arial"/>
          <w:b w:val="false"/>
          <w:bCs w:val="false"/>
          <w:color w:val="64748B"/>
          <w:sz w:val="20"/>
          <w:szCs w:val="20"/>
        </w:rPr>
        <w:t xml:space="preserve">   5.3 Web Application (app.py)</w:t>
      </w:r>
      <w:r>
        <w:rPr>
          <w:rFonts w:ascii="Arial" w:cs="Arial" w:eastAsia="Arial" w:hAnsi="Arial"/>
          <w:color w:val="64748B"/>
          <w:sz w:val="20"/>
          <w:szCs w:val="20"/>
        </w:rPr>
        <w:t xml:space="preserve">	13</w:t>
      </w:r>
    </w:p>
    <w:p>
      <w:pPr>
        <w:tabs>
          <w:tab w:val="right" w:pos="9026" w:leader="dot"/>
        </w:tabs>
        <w:spacing w:after="80"/>
      </w:pPr>
      <w:r>
        <w:rPr>
          <w:rFonts w:ascii="Arial" w:cs="Arial" w:eastAsia="Arial" w:hAnsi="Arial"/>
          <w:b/>
          <w:bCs/>
          <w:color w:val="0A2342"/>
          <w:sz w:val="20"/>
          <w:szCs w:val="20"/>
        </w:rPr>
        <w:t xml:space="preserve">6. Results and Evaluation</w:t>
      </w:r>
      <w:r>
        <w:rPr>
          <w:rFonts w:ascii="Arial" w:cs="Arial" w:eastAsia="Arial" w:hAnsi="Arial"/>
          <w:color w:val="64748B"/>
          <w:sz w:val="20"/>
          <w:szCs w:val="20"/>
        </w:rPr>
        <w:t xml:space="preserve">	14</w:t>
      </w:r>
    </w:p>
    <w:p>
      <w:pPr>
        <w:tabs>
          <w:tab w:val="right" w:pos="9026" w:leader="dot"/>
        </w:tabs>
        <w:spacing w:after="80"/>
      </w:pPr>
      <w:r>
        <w:rPr>
          <w:rFonts w:ascii="Arial" w:cs="Arial" w:eastAsia="Arial" w:hAnsi="Arial"/>
          <w:b w:val="false"/>
          <w:bCs w:val="false"/>
          <w:color w:val="64748B"/>
          <w:sz w:val="20"/>
          <w:szCs w:val="20"/>
        </w:rPr>
        <w:t xml:space="preserve">   6.1 Training Performance</w:t>
      </w:r>
      <w:r>
        <w:rPr>
          <w:rFonts w:ascii="Arial" w:cs="Arial" w:eastAsia="Arial" w:hAnsi="Arial"/>
          <w:color w:val="64748B"/>
          <w:sz w:val="20"/>
          <w:szCs w:val="20"/>
        </w:rPr>
        <w:t xml:space="preserve">	14</w:t>
      </w:r>
    </w:p>
    <w:p>
      <w:pPr>
        <w:tabs>
          <w:tab w:val="right" w:pos="9026" w:leader="dot"/>
        </w:tabs>
        <w:spacing w:after="80"/>
      </w:pPr>
      <w:r>
        <w:rPr>
          <w:rFonts w:ascii="Arial" w:cs="Arial" w:eastAsia="Arial" w:hAnsi="Arial"/>
          <w:b w:val="false"/>
          <w:bCs w:val="false"/>
          <w:color w:val="64748B"/>
          <w:sz w:val="20"/>
          <w:szCs w:val="20"/>
        </w:rPr>
        <w:t xml:space="preserve">   6.2 Evaluation Metrics</w:t>
      </w:r>
      <w:r>
        <w:rPr>
          <w:rFonts w:ascii="Arial" w:cs="Arial" w:eastAsia="Arial" w:hAnsi="Arial"/>
          <w:color w:val="64748B"/>
          <w:sz w:val="20"/>
          <w:szCs w:val="20"/>
        </w:rPr>
        <w:t xml:space="preserve">	14</w:t>
      </w:r>
    </w:p>
    <w:p>
      <w:pPr>
        <w:tabs>
          <w:tab w:val="right" w:pos="9026" w:leader="dot"/>
        </w:tabs>
        <w:spacing w:after="80"/>
      </w:pPr>
      <w:r>
        <w:rPr>
          <w:rFonts w:ascii="Arial" w:cs="Arial" w:eastAsia="Arial" w:hAnsi="Arial"/>
          <w:b w:val="false"/>
          <w:bCs w:val="false"/>
          <w:color w:val="64748B"/>
          <w:sz w:val="20"/>
          <w:szCs w:val="20"/>
        </w:rPr>
        <w:t xml:space="preserve">   6.3 Comparison with Baseline Models</w:t>
      </w:r>
      <w:r>
        <w:rPr>
          <w:rFonts w:ascii="Arial" w:cs="Arial" w:eastAsia="Arial" w:hAnsi="Arial"/>
          <w:color w:val="64748B"/>
          <w:sz w:val="20"/>
          <w:szCs w:val="20"/>
        </w:rPr>
        <w:t xml:space="preserve">	15</w:t>
      </w:r>
    </w:p>
    <w:p>
      <w:pPr>
        <w:tabs>
          <w:tab w:val="right" w:pos="9026" w:leader="dot"/>
        </w:tabs>
        <w:spacing w:after="80"/>
      </w:pPr>
      <w:r>
        <w:rPr>
          <w:rFonts w:ascii="Arial" w:cs="Arial" w:eastAsia="Arial" w:hAnsi="Arial"/>
          <w:b/>
          <w:bCs/>
          <w:color w:val="0A2342"/>
          <w:sz w:val="20"/>
          <w:szCs w:val="20"/>
        </w:rPr>
        <w:t xml:space="preserve">7. Web Application</w:t>
      </w:r>
      <w:r>
        <w:rPr>
          <w:rFonts w:ascii="Arial" w:cs="Arial" w:eastAsia="Arial" w:hAnsi="Arial"/>
          <w:color w:val="64748B"/>
          <w:sz w:val="20"/>
          <w:szCs w:val="20"/>
        </w:rPr>
        <w:t xml:space="preserve">	16</w:t>
      </w:r>
    </w:p>
    <w:p>
      <w:pPr>
        <w:tabs>
          <w:tab w:val="right" w:pos="9026" w:leader="dot"/>
        </w:tabs>
        <w:spacing w:after="80"/>
      </w:pPr>
      <w:r>
        <w:rPr>
          <w:rFonts w:ascii="Arial" w:cs="Arial" w:eastAsia="Arial" w:hAnsi="Arial"/>
          <w:b/>
          <w:bCs/>
          <w:color w:val="0A2342"/>
          <w:sz w:val="20"/>
          <w:szCs w:val="20"/>
        </w:rPr>
        <w:t xml:space="preserve">8. Discussion</w:t>
      </w:r>
      <w:r>
        <w:rPr>
          <w:rFonts w:ascii="Arial" w:cs="Arial" w:eastAsia="Arial" w:hAnsi="Arial"/>
          <w:color w:val="64748B"/>
          <w:sz w:val="20"/>
          <w:szCs w:val="20"/>
        </w:rPr>
        <w:t xml:space="preserve">	17</w:t>
      </w:r>
    </w:p>
    <w:p>
      <w:pPr>
        <w:tabs>
          <w:tab w:val="right" w:pos="9026" w:leader="dot"/>
        </w:tabs>
        <w:spacing w:after="80"/>
      </w:pPr>
      <w:r>
        <w:rPr>
          <w:rFonts w:ascii="Arial" w:cs="Arial" w:eastAsia="Arial" w:hAnsi="Arial"/>
          <w:b/>
          <w:bCs/>
          <w:color w:val="0A2342"/>
          <w:sz w:val="20"/>
          <w:szCs w:val="20"/>
        </w:rPr>
        <w:t xml:space="preserve">9. Conclusion</w:t>
      </w:r>
      <w:r>
        <w:rPr>
          <w:rFonts w:ascii="Arial" w:cs="Arial" w:eastAsia="Arial" w:hAnsi="Arial"/>
          <w:color w:val="64748B"/>
          <w:sz w:val="20"/>
          <w:szCs w:val="20"/>
        </w:rPr>
        <w:t xml:space="preserve">	18</w:t>
      </w:r>
    </w:p>
    <w:p>
      <w:pPr>
        <w:tabs>
          <w:tab w:val="right" w:pos="9026" w:leader="dot"/>
        </w:tabs>
        <w:spacing w:after="80"/>
      </w:pPr>
      <w:r>
        <w:rPr>
          <w:rFonts w:ascii="Arial" w:cs="Arial" w:eastAsia="Arial" w:hAnsi="Arial"/>
          <w:b/>
          <w:bCs/>
          <w:color w:val="0A2342"/>
          <w:sz w:val="20"/>
          <w:szCs w:val="20"/>
        </w:rPr>
        <w:t xml:space="preserve">10. Future Work</w:t>
      </w:r>
      <w:r>
        <w:rPr>
          <w:rFonts w:ascii="Arial" w:cs="Arial" w:eastAsia="Arial" w:hAnsi="Arial"/>
          <w:color w:val="64748B"/>
          <w:sz w:val="20"/>
          <w:szCs w:val="20"/>
        </w:rPr>
        <w:t xml:space="preserve">	18</w:t>
      </w:r>
    </w:p>
    <w:p>
      <w:pPr>
        <w:tabs>
          <w:tab w:val="right" w:pos="9026" w:leader="dot"/>
        </w:tabs>
        <w:spacing w:after="80"/>
      </w:pPr>
      <w:r>
        <w:rPr>
          <w:rFonts w:ascii="Arial" w:cs="Arial" w:eastAsia="Arial" w:hAnsi="Arial"/>
          <w:b/>
          <w:bCs/>
          <w:color w:val="0A2342"/>
          <w:sz w:val="20"/>
          <w:szCs w:val="20"/>
        </w:rPr>
        <w:t xml:space="preserve">References</w:t>
      </w:r>
      <w:r>
        <w:rPr>
          <w:rFonts w:ascii="Arial" w:cs="Arial" w:eastAsia="Arial" w:hAnsi="Arial"/>
          <w:color w:val="64748B"/>
          <w:sz w:val="20"/>
          <w:szCs w:val="20"/>
        </w:rPr>
        <w:t xml:space="preserve">	19</w:t>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1. Introduction</w:t>
      </w:r>
    </w:p>
    <w:p>
      <w:pPr>
        <w:pStyle w:val="Heading2"/>
        <w:spacing w:after="120" w:before="280"/>
      </w:pPr>
      <w:r>
        <w:rPr>
          <w:rFonts w:ascii="Arial" w:cs="Arial" w:eastAsia="Arial" w:hAnsi="Arial"/>
          <w:b/>
          <w:bCs/>
          <w:color w:val="1C7293"/>
          <w:sz w:val="26"/>
          <w:szCs w:val="26"/>
        </w:rPr>
        <w:t xml:space="preserve">1.1 Background and Motivation</w:t>
      </w:r>
    </w:p>
    <w:p>
      <w:pPr>
        <w:spacing w:after="140"/>
        <w:jc w:val="both"/>
      </w:pPr>
      <w:r>
        <w:rPr>
          <w:rFonts w:ascii="Arial" w:cs="Arial" w:eastAsia="Arial" w:hAnsi="Arial"/>
          <w:color w:val="1E293B"/>
          <w:sz w:val="22"/>
          <w:szCs w:val="22"/>
        </w:rPr>
        <w:t xml:space="preserve">Malaria is a life-threatening parasitic disease caused primarily by Plasmodium falciparum and Plasmodium vivax, transmitted through the bites of infected Anopheles mosquitoes. According to the World Health Organization (WHO) World Malaria Report 2022, there were an estimated 247 million cases of malaria worldwide in 2021, compared to 245 million cases in 2020. Sub-Saharan Africa continues to bear a disproportionately high share of the global malaria burden, accounting for approximately 94% of all malaria cases and deaths.</w:t>
      </w:r>
    </w:p>
    <w:p>
      <w:pPr>
        <w:spacing w:after="140"/>
        <w:jc w:val="both"/>
      </w:pPr>
      <w:r>
        <w:rPr>
          <w:rFonts w:ascii="Arial" w:cs="Arial" w:eastAsia="Arial" w:hAnsi="Arial"/>
          <w:color w:val="1E293B"/>
          <w:sz w:val="22"/>
          <w:szCs w:val="22"/>
        </w:rPr>
        <w:t xml:space="preserve">The gold standard for malaria diagnosis is microscopic examination of thick and thin Giemsa-stained blood smears, a method that requires skilled laboratory technicians and significant time per examination. In many endemic regions, the shortage of trained microscopists, inconsistent staining quality, high workload, and fatigue-induced errors contribute to misdiagnosis rates of up to 30%. Rapid Diagnostic Tests (RDTs) offer an alternative but lack sensitivity for low-parasitaemia infections.</w:t>
      </w:r>
    </w:p>
    <w:p>
      <w:pPr>
        <w:spacing w:after="140"/>
        <w:jc w:val="both"/>
      </w:pPr>
      <w:r>
        <w:rPr>
          <w:rFonts w:ascii="Arial" w:cs="Arial" w:eastAsia="Arial" w:hAnsi="Arial"/>
          <w:color w:val="1E293B"/>
          <w:sz w:val="22"/>
          <w:szCs w:val="22"/>
        </w:rPr>
        <w:t xml:space="preserve">Artificial intelligence, particularly deep learning and computer vision, offers a transformative opportunity. Convolutional Neural Networks (CNNs) have demonstrated remarkable success in image classification tasks, including medical image analysis. A CNN-based malaria detection tool can perform rapid, consistent, and cost-effective screening of blood cell images, reducing the burden on laboratory personnel and improving diagnostic accuracy in resource-limited settings.</w:t>
      </w:r>
    </w:p>
    <w:p>
      <w:pPr>
        <w:pStyle w:val="Heading2"/>
        <w:spacing w:after="120" w:before="280"/>
      </w:pPr>
      <w:r>
        <w:rPr>
          <w:rFonts w:ascii="Arial" w:cs="Arial" w:eastAsia="Arial" w:hAnsi="Arial"/>
          <w:b/>
          <w:bCs/>
          <w:color w:val="1C7293"/>
          <w:sz w:val="26"/>
          <w:szCs w:val="26"/>
        </w:rPr>
        <w:t xml:space="preserve">1.2 Problem Statement</w:t>
      </w:r>
    </w:p>
    <w:p>
      <w:pPr>
        <w:spacing w:after="140"/>
        <w:jc w:val="both"/>
      </w:pPr>
      <w:r>
        <w:rPr>
          <w:rFonts w:ascii="Arial" w:cs="Arial" w:eastAsia="Arial" w:hAnsi="Arial"/>
          <w:color w:val="1E293B"/>
          <w:sz w:val="22"/>
          <w:szCs w:val="22"/>
        </w:rPr>
        <w:t xml:space="preserve">Manual microscopic examination of blood smears for malaria diagnosis suffers from several critical limitations:</w:t>
      </w:r>
    </w:p>
    <w:p>
      <w:pPr>
        <w:pStyle w:val="ListParagraph"/>
        <w:numPr>
          <w:ilvl w:val="0"/>
          <w:numId w:val="2"/>
        </w:numPr>
        <w:spacing w:after="80"/>
      </w:pPr>
      <w:r>
        <w:rPr>
          <w:rFonts w:ascii="Arial" w:cs="Arial" w:eastAsia="Arial" w:hAnsi="Arial"/>
          <w:color w:val="1E293B"/>
          <w:sz w:val="22"/>
          <w:szCs w:val="22"/>
        </w:rPr>
        <w:t xml:space="preserve">Time-intensive process: Each examination can take 20 to 45 minutes per sample.</w:t>
      </w:r>
    </w:p>
    <w:p>
      <w:pPr>
        <w:pStyle w:val="ListParagraph"/>
        <w:numPr>
          <w:ilvl w:val="0"/>
          <w:numId w:val="2"/>
        </w:numPr>
        <w:spacing w:after="80"/>
      </w:pPr>
      <w:r>
        <w:rPr>
          <w:rFonts w:ascii="Arial" w:cs="Arial" w:eastAsia="Arial" w:hAnsi="Arial"/>
          <w:color w:val="1E293B"/>
          <w:sz w:val="22"/>
          <w:szCs w:val="22"/>
        </w:rPr>
        <w:t xml:space="preserve">Dependency on skilled personnel: A shortage of trained microscopists in rural and low-resource areas.</w:t>
      </w:r>
    </w:p>
    <w:p>
      <w:pPr>
        <w:pStyle w:val="ListParagraph"/>
        <w:numPr>
          <w:ilvl w:val="0"/>
          <w:numId w:val="2"/>
        </w:numPr>
        <w:spacing w:after="80"/>
      </w:pPr>
      <w:r>
        <w:rPr>
          <w:rFonts w:ascii="Arial" w:cs="Arial" w:eastAsia="Arial" w:hAnsi="Arial"/>
          <w:color w:val="1E293B"/>
          <w:sz w:val="22"/>
          <w:szCs w:val="22"/>
        </w:rPr>
        <w:t xml:space="preserve">Subjectivity and fatigue: Human error rates increase substantially under high workloads.</w:t>
      </w:r>
    </w:p>
    <w:p>
      <w:pPr>
        <w:pStyle w:val="ListParagraph"/>
        <w:numPr>
          <w:ilvl w:val="0"/>
          <w:numId w:val="2"/>
        </w:numPr>
        <w:spacing w:after="80"/>
      </w:pPr>
      <w:r>
        <w:rPr>
          <w:rFonts w:ascii="Arial" w:cs="Arial" w:eastAsia="Arial" w:hAnsi="Arial"/>
          <w:color w:val="1E293B"/>
          <w:sz w:val="22"/>
          <w:szCs w:val="22"/>
        </w:rPr>
        <w:t xml:space="preserve">Scalability constraints: Manual examination cannot efficiently scale to mass screening programs.</w:t>
      </w:r>
    </w:p>
    <w:p>
      <w:pPr>
        <w:pStyle w:val="ListParagraph"/>
        <w:numPr>
          <w:ilvl w:val="0"/>
          <w:numId w:val="2"/>
        </w:numPr>
        <w:spacing w:after="80"/>
      </w:pPr>
      <w:r>
        <w:rPr>
          <w:rFonts w:ascii="Arial" w:cs="Arial" w:eastAsia="Arial" w:hAnsi="Arial"/>
          <w:color w:val="1E293B"/>
          <w:sz w:val="22"/>
          <w:szCs w:val="22"/>
        </w:rPr>
        <w:t xml:space="preserve">Inconsistency: Different technicians may interpret borderline cases differently.</w:t>
      </w:r>
    </w:p>
    <w:p>
      <w:pPr>
        <w:spacing w:after="80"/>
      </w:pPr>
      <w:r>
        <w:t xml:space="preserve"/>
      </w:r>
    </w:p>
    <w:p>
      <w:pPr>
        <w:spacing w:after="140"/>
        <w:jc w:val="both"/>
      </w:pPr>
      <w:r>
        <w:rPr>
          <w:rFonts w:ascii="Arial" w:cs="Arial" w:eastAsia="Arial" w:hAnsi="Arial"/>
          <w:color w:val="1E293B"/>
          <w:sz w:val="22"/>
          <w:szCs w:val="22"/>
        </w:rPr>
        <w:t xml:space="preserve">These limitations necessitate an automated, reliable, and accessible diagnostic solution that can be deployed in diverse healthcare settings without requiring extensive laboratory expertise.</w:t>
      </w:r>
    </w:p>
    <w:p>
      <w:pPr>
        <w:pStyle w:val="Heading2"/>
        <w:spacing w:after="120" w:before="280"/>
      </w:pPr>
      <w:r>
        <w:rPr>
          <w:rFonts w:ascii="Arial" w:cs="Arial" w:eastAsia="Arial" w:hAnsi="Arial"/>
          <w:b/>
          <w:bCs/>
          <w:color w:val="1C7293"/>
          <w:sz w:val="26"/>
          <w:szCs w:val="26"/>
        </w:rPr>
        <w:t xml:space="preserve">1.3 Objectives</w:t>
      </w:r>
    </w:p>
    <w:p>
      <w:pPr>
        <w:spacing w:after="140"/>
        <w:jc w:val="both"/>
      </w:pPr>
      <w:r>
        <w:rPr>
          <w:rFonts w:ascii="Arial" w:cs="Arial" w:eastAsia="Arial" w:hAnsi="Arial"/>
          <w:color w:val="1E293B"/>
          <w:sz w:val="22"/>
          <w:szCs w:val="22"/>
        </w:rPr>
        <w:t xml:space="preserve">The primary objectives of this project are:</w:t>
      </w:r>
    </w:p>
    <w:p>
      <w:pPr>
        <w:pStyle w:val="ListParagraph"/>
        <w:numPr>
          <w:ilvl w:val="0"/>
          <w:numId w:val="3"/>
        </w:numPr>
        <w:spacing w:after="80"/>
      </w:pPr>
      <w:r>
        <w:rPr>
          <w:rFonts w:ascii="Arial" w:cs="Arial" w:eastAsia="Arial" w:hAnsi="Arial"/>
          <w:color w:val="1E293B"/>
          <w:sz w:val="22"/>
          <w:szCs w:val="22"/>
        </w:rPr>
        <w:t xml:space="preserve">To design and implement a deep learning model capable of classifying blood cell microscopy images as Parasitized (malaria-infected) or Uninfected (healthy).</w:t>
      </w:r>
    </w:p>
    <w:p>
      <w:pPr>
        <w:pStyle w:val="ListParagraph"/>
        <w:numPr>
          <w:ilvl w:val="0"/>
          <w:numId w:val="3"/>
        </w:numPr>
        <w:spacing w:after="80"/>
      </w:pPr>
      <w:r>
        <w:rPr>
          <w:rFonts w:ascii="Arial" w:cs="Arial" w:eastAsia="Arial" w:hAnsi="Arial"/>
          <w:color w:val="1E293B"/>
          <w:sz w:val="22"/>
          <w:szCs w:val="22"/>
        </w:rPr>
        <w:t xml:space="preserve">To leverage transfer learning with MobileNetV2 pre-trained on ImageNet to achieve high accuracy with efficient training.</w:t>
      </w:r>
    </w:p>
    <w:p>
      <w:pPr>
        <w:pStyle w:val="ListParagraph"/>
        <w:numPr>
          <w:ilvl w:val="0"/>
          <w:numId w:val="3"/>
        </w:numPr>
        <w:spacing w:after="80"/>
      </w:pPr>
      <w:r>
        <w:rPr>
          <w:rFonts w:ascii="Arial" w:cs="Arial" w:eastAsia="Arial" w:hAnsi="Arial"/>
          <w:color w:val="1E293B"/>
          <w:sz w:val="22"/>
          <w:szCs w:val="22"/>
        </w:rPr>
        <w:t xml:space="preserve">To implement a two-phase training strategy combining head training and fine-tuning to maximise model performance.</w:t>
      </w:r>
    </w:p>
    <w:p>
      <w:pPr>
        <w:pStyle w:val="ListParagraph"/>
        <w:numPr>
          <w:ilvl w:val="0"/>
          <w:numId w:val="3"/>
        </w:numPr>
        <w:spacing w:after="80"/>
      </w:pPr>
      <w:r>
        <w:rPr>
          <w:rFonts w:ascii="Arial" w:cs="Arial" w:eastAsia="Arial" w:hAnsi="Arial"/>
          <w:color w:val="1E293B"/>
          <w:sz w:val="22"/>
          <w:szCs w:val="22"/>
        </w:rPr>
        <w:t xml:space="preserve">To evaluate the trained model on unseen test data and measure accuracy, sensitivity, specificity, and loss.</w:t>
      </w:r>
    </w:p>
    <w:p>
      <w:pPr>
        <w:pStyle w:val="ListParagraph"/>
        <w:numPr>
          <w:ilvl w:val="0"/>
          <w:numId w:val="3"/>
        </w:numPr>
        <w:spacing w:after="80"/>
      </w:pPr>
      <w:r>
        <w:rPr>
          <w:rFonts w:ascii="Arial" w:cs="Arial" w:eastAsia="Arial" w:hAnsi="Arial"/>
          <w:color w:val="1E293B"/>
          <w:sz w:val="22"/>
          <w:szCs w:val="22"/>
        </w:rPr>
        <w:t xml:space="preserve">To develop an interactive web application using Streamlit for real-time blood cell image classification accessible to end users.</w:t>
      </w:r>
    </w:p>
    <w:p>
      <w:pPr>
        <w:pStyle w:val="ListParagraph"/>
        <w:numPr>
          <w:ilvl w:val="0"/>
          <w:numId w:val="3"/>
        </w:numPr>
        <w:spacing w:after="80"/>
      </w:pPr>
      <w:r>
        <w:rPr>
          <w:rFonts w:ascii="Arial" w:cs="Arial" w:eastAsia="Arial" w:hAnsi="Arial"/>
          <w:color w:val="1E293B"/>
          <w:sz w:val="22"/>
          <w:szCs w:val="22"/>
        </w:rPr>
        <w:t xml:space="preserve">To demonstrate the potential of AI-assisted tools in supplementing clinical malaria diagnosis.</w:t>
      </w:r>
    </w:p>
    <w:p>
      <w:pPr>
        <w:pStyle w:val="Heading2"/>
        <w:spacing w:after="120" w:before="280"/>
      </w:pPr>
      <w:r>
        <w:rPr>
          <w:rFonts w:ascii="Arial" w:cs="Arial" w:eastAsia="Arial" w:hAnsi="Arial"/>
          <w:b/>
          <w:bCs/>
          <w:color w:val="1C7293"/>
          <w:sz w:val="26"/>
          <w:szCs w:val="26"/>
        </w:rPr>
        <w:t xml:space="preserve">1.4 Scope of the Project</w:t>
      </w:r>
    </w:p>
    <w:p>
      <w:pPr>
        <w:spacing w:after="140"/>
        <w:jc w:val="both"/>
      </w:pPr>
      <w:r>
        <w:rPr>
          <w:rFonts w:ascii="Arial" w:cs="Arial" w:eastAsia="Arial" w:hAnsi="Arial"/>
          <w:color w:val="1E293B"/>
          <w:sz w:val="22"/>
          <w:szCs w:val="22"/>
        </w:rPr>
        <w:t xml:space="preserve">This project focuses on binary classification of individual blood cell images into two classes: Parasitized and Uninfected. The system is designed as a research and educational tool to demonstrate the application of deep learning in medical image analysis. It is not intended for clinical deployment without further validation on diverse datasets, regulatory approval, and clinical trials. The scope covers model design, training, evaluation, and deployment of a proof-of-concept web application.</w:t>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2. Literature Review</w:t>
      </w:r>
    </w:p>
    <w:p>
      <w:pPr>
        <w:spacing w:after="140"/>
        <w:jc w:val="both"/>
      </w:pPr>
      <w:r>
        <w:rPr>
          <w:rFonts w:ascii="Arial" w:cs="Arial" w:eastAsia="Arial" w:hAnsi="Arial"/>
          <w:color w:val="1E293B"/>
          <w:sz w:val="22"/>
          <w:szCs w:val="22"/>
        </w:rPr>
        <w:t xml:space="preserve">Automated malaria detection using image processing and machine learning has been an active area of research for over two decades. Early approaches relied on classical image processing techniques such as thresholding, morphological operations, and hand-crafted feature extraction (e.g., colour histograms, HOG features) combined with traditional classifiers like Support Vector Machines (SVMs) and Random Forests. While these methods showed promise, they were sensitive to staining variability and image quality, limiting their generalisation to real-world samples.</w:t>
      </w:r>
    </w:p>
    <w:p>
      <w:pPr>
        <w:spacing w:after="140"/>
        <w:jc w:val="both"/>
      </w:pPr>
      <w:r>
        <w:rPr>
          <w:rFonts w:ascii="Arial" w:cs="Arial" w:eastAsia="Arial" w:hAnsi="Arial"/>
          <w:color w:val="1E293B"/>
          <w:sz w:val="22"/>
          <w:szCs w:val="22"/>
        </w:rPr>
        <w:t xml:space="preserve">The advent of deep learning, particularly CNNs, marked a significant inflection point in medical image classification. Researchers began applying CNNs directly to blood smear images, bypassing the need for manual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60"/>
        <w:gridCol w:w="2900"/>
      </w:tblGrid>
      <w:tr>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Author(s)</w:t>
            </w:r>
          </w:p>
        </w:tc>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1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9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Reported 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Rajaraman et 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2018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Custom CNN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95.9%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Liang et 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2019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ResNet-50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97.3%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Dong et 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Inception-V3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96.8%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Quinn et 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2021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MobileNet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94.2%</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This Work</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2025</w:t>
            </w:r>
          </w:p>
        </w:tc>
        <w:tc>
          <w:tcPr>
            <w:tcW w:type="dxa" w:w="1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MobileNetV2</w:t>
            </w:r>
          </w:p>
        </w:tc>
        <w:tc>
          <w:tcPr>
            <w:tcW w:type="dxa" w:w="29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97.2%</w:t>
            </w:r>
          </w:p>
        </w:tc>
      </w:tr>
    </w:tbl>
    <w:p>
      <w:pPr>
        <w:spacing w:after="120"/>
      </w:pPr>
      <w:r>
        <w:t xml:space="preserve"/>
      </w:r>
    </w:p>
    <w:p>
      <w:pPr>
        <w:spacing w:after="140"/>
        <w:jc w:val="both"/>
      </w:pPr>
      <w:r>
        <w:rPr>
          <w:rFonts w:ascii="Arial" w:cs="Arial" w:eastAsia="Arial" w:hAnsi="Arial"/>
          <w:color w:val="1E293B"/>
          <w:sz w:val="22"/>
          <w:szCs w:val="22"/>
        </w:rPr>
        <w:t xml:space="preserve">Rajaraman et al. (2018) demonstrated that pre-trained CNN models could achieve high accuracy on the NIH malaria cell dataset. Their work with AlexNet and VGG-16 features extracted and classified with SVMs achieved competitive results, highlighting the power of transfer learning for small medical datasets.</w:t>
      </w:r>
    </w:p>
    <w:p>
      <w:pPr>
        <w:spacing w:after="140"/>
        <w:jc w:val="both"/>
      </w:pPr>
      <w:r>
        <w:rPr>
          <w:rFonts w:ascii="Arial" w:cs="Arial" w:eastAsia="Arial" w:hAnsi="Arial"/>
          <w:color w:val="1E293B"/>
          <w:sz w:val="22"/>
          <w:szCs w:val="22"/>
        </w:rPr>
        <w:t xml:space="preserve">Subsequent studies leveraged deeper architectures such as ResNet-50 (Liang et al., 2019) and Inception-V3 (Dong et al., 2020), achieving incremental accuracy improvements at the cost of greater computational complexity. MobileNet-based approaches (Quinn et al., 2021) demonstrated that lightweight architectures could achieve competitive accuracy while remaining deployable on mobile and edge devices, making them particularly attractive for field use.</w:t>
      </w:r>
    </w:p>
    <w:p>
      <w:pPr>
        <w:spacing w:after="140"/>
        <w:jc w:val="both"/>
      </w:pPr>
      <w:r>
        <w:rPr>
          <w:rFonts w:ascii="Arial" w:cs="Arial" w:eastAsia="Arial" w:hAnsi="Arial"/>
          <w:color w:val="1E293B"/>
          <w:sz w:val="22"/>
          <w:szCs w:val="22"/>
        </w:rPr>
        <w:t xml:space="preserve">MobileNetV2, introduced by Sandler et al. (2018), represents a significant advancement over the original MobileNet. It introduces inverted residuals and linear bottlenecks, achieving a better accuracy-efficiency trade-off. Its depthwise separable convolutions reduce computational cost substantially compared to standard convolutions, making it ideal for deployment in resource-constrained environments — precisely the settings where malaria is most prevalent.</w:t>
      </w:r>
    </w:p>
    <w:p>
      <w:pPr>
        <w:spacing w:after="140"/>
        <w:jc w:val="both"/>
      </w:pPr>
      <w:r>
        <w:rPr>
          <w:rFonts w:ascii="Arial" w:cs="Arial" w:eastAsia="Arial" w:hAnsi="Arial"/>
          <w:color w:val="1E293B"/>
          <w:sz w:val="22"/>
          <w:szCs w:val="22"/>
        </w:rPr>
        <w:t xml:space="preserve">This project builds upon these findings by implementing a MobileNetV2-based transfer learning approach with a carefully designed two-phase training strategy, combining the strengths of pretrained feature extraction with domain-specific fine-tuning.</w:t>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3. Dataset</w:t>
      </w:r>
    </w:p>
    <w:p>
      <w:pPr>
        <w:pStyle w:val="Heading2"/>
        <w:spacing w:after="120" w:before="280"/>
      </w:pPr>
      <w:r>
        <w:rPr>
          <w:rFonts w:ascii="Arial" w:cs="Arial" w:eastAsia="Arial" w:hAnsi="Arial"/>
          <w:b/>
          <w:bCs/>
          <w:color w:val="1C7293"/>
          <w:sz w:val="26"/>
          <w:szCs w:val="26"/>
        </w:rPr>
        <w:t xml:space="preserve">3.1 Dataset Description</w:t>
      </w:r>
    </w:p>
    <w:p>
      <w:pPr>
        <w:spacing w:after="140"/>
        <w:jc w:val="both"/>
      </w:pPr>
      <w:r>
        <w:rPr>
          <w:rFonts w:ascii="Arial" w:cs="Arial" w:eastAsia="Arial" w:hAnsi="Arial"/>
          <w:color w:val="1E293B"/>
          <w:sz w:val="22"/>
          <w:szCs w:val="22"/>
        </w:rPr>
        <w:t xml:space="preserve">The NIH Malaria Cell Images Dataset, made publicly available by the National Institutes of Health (NIH) and hosted on Kaggle, is the standard benchmark dataset for malaria detection research. It was created by Rajaraman et al. and consists of segmented blood cell images prepared from thin blood smear slides of malaria-infected and healthy patients.</w:t>
      </w:r>
    </w:p>
    <w:p>
      <w:pPr>
        <w:spacing w:after="140"/>
        <w:jc w:val="both"/>
      </w:pPr>
      <w:r>
        <w:rPr>
          <w:rFonts w:ascii="Arial" w:cs="Arial" w:eastAsia="Arial" w:hAnsi="Arial"/>
          <w:b/>
          <w:bCs/>
          <w:color w:val="0A2342"/>
          <w:sz w:val="22"/>
          <w:szCs w:val="22"/>
        </w:rPr>
        <w:t xml:space="preserve">Source: </w:t>
      </w:r>
      <w:r>
        <w:rPr>
          <w:rFonts w:ascii="Arial" w:cs="Arial" w:eastAsia="Arial" w:hAnsi="Arial"/>
          <w:color w:val="1E293B"/>
          <w:sz w:val="22"/>
          <w:szCs w:val="22"/>
        </w:rPr>
        <w:t xml:space="preserve">National Institutes of Health (NIH) / Kaggle</w:t>
      </w:r>
    </w:p>
    <w:p>
      <w:pPr>
        <w:spacing w:after="140"/>
        <w:jc w:val="both"/>
      </w:pPr>
      <w:r>
        <w:rPr>
          <w:rFonts w:ascii="Arial" w:cs="Arial" w:eastAsia="Arial" w:hAnsi="Arial"/>
          <w:b/>
          <w:bCs/>
          <w:color w:val="0A2342"/>
          <w:sz w:val="22"/>
          <w:szCs w:val="22"/>
        </w:rPr>
        <w:t xml:space="preserve">Total Images: </w:t>
      </w:r>
      <w:r>
        <w:rPr>
          <w:rFonts w:ascii="Arial" w:cs="Arial" w:eastAsia="Arial" w:hAnsi="Arial"/>
          <w:color w:val="1E293B"/>
          <w:sz w:val="22"/>
          <w:szCs w:val="22"/>
        </w:rPr>
        <w:t xml:space="preserve">27,558 individual blood cell images</w:t>
      </w:r>
    </w:p>
    <w:p>
      <w:pPr>
        <w:spacing w:after="140"/>
        <w:jc w:val="both"/>
      </w:pPr>
      <w:r>
        <w:rPr>
          <w:rFonts w:ascii="Arial" w:cs="Arial" w:eastAsia="Arial" w:hAnsi="Arial"/>
          <w:b/>
          <w:bCs/>
          <w:color w:val="0A2342"/>
          <w:sz w:val="22"/>
          <w:szCs w:val="22"/>
        </w:rPr>
        <w:t xml:space="preserve">Format: </w:t>
      </w:r>
      <w:r>
        <w:rPr>
          <w:rFonts w:ascii="Arial" w:cs="Arial" w:eastAsia="Arial" w:hAnsi="Arial"/>
          <w:color w:val="1E293B"/>
          <w:sz w:val="22"/>
          <w:szCs w:val="22"/>
        </w:rPr>
        <w:t xml:space="preserve">PNG files, variable resolution (segmented single cells)</w:t>
      </w:r>
    </w:p>
    <w:p>
      <w:pPr>
        <w:spacing w:after="140"/>
        <w:jc w:val="both"/>
      </w:pPr>
      <w:r>
        <w:rPr>
          <w:rFonts w:ascii="Arial" w:cs="Arial" w:eastAsia="Arial" w:hAnsi="Arial"/>
          <w:b/>
          <w:bCs/>
          <w:color w:val="0A2342"/>
          <w:sz w:val="22"/>
          <w:szCs w:val="22"/>
        </w:rPr>
        <w:t xml:space="preserve">Classes: </w:t>
      </w:r>
      <w:r>
        <w:rPr>
          <w:rFonts w:ascii="Arial" w:cs="Arial" w:eastAsia="Arial" w:hAnsi="Arial"/>
          <w:color w:val="1E293B"/>
          <w:sz w:val="22"/>
          <w:szCs w:val="22"/>
        </w:rPr>
        <w:t xml:space="preserve">Two — Parasitized (infected with P. falciparum) and Uninfected (healthy red blood cells)</w:t>
      </w:r>
    </w:p>
    <w:p>
      <w:pPr>
        <w:spacing w:after="140"/>
        <w:jc w:val="both"/>
      </w:pPr>
      <w:r>
        <w:rPr>
          <w:rFonts w:ascii="Arial" w:cs="Arial" w:eastAsia="Arial" w:hAnsi="Arial"/>
          <w:b/>
          <w:bCs/>
          <w:color w:val="0A2342"/>
          <w:sz w:val="22"/>
          <w:szCs w:val="22"/>
        </w:rPr>
        <w:t xml:space="preserve">Balance: </w:t>
      </w:r>
      <w:r>
        <w:rPr>
          <w:rFonts w:ascii="Arial" w:cs="Arial" w:eastAsia="Arial" w:hAnsi="Arial"/>
          <w:color w:val="1E293B"/>
          <w:sz w:val="22"/>
          <w:szCs w:val="22"/>
        </w:rPr>
        <w:t xml:space="preserve">Perfectly balanced — 13,779 images per class, eliminating class imbalance concerns</w:t>
      </w:r>
    </w:p>
    <w:p>
      <w:pPr>
        <w:pStyle w:val="Heading2"/>
        <w:spacing w:after="120" w:before="280"/>
      </w:pPr>
      <w:r>
        <w:rPr>
          <w:rFonts w:ascii="Arial" w:cs="Arial" w:eastAsia="Arial" w:hAnsi="Arial"/>
          <w:b/>
          <w:bCs/>
          <w:color w:val="1C7293"/>
          <w:sz w:val="26"/>
          <w:szCs w:val="26"/>
        </w:rPr>
        <w:t xml:space="preserve">3.2 Data Distribution</w:t>
      </w:r>
    </w:p>
    <w:p>
      <w:pPr>
        <w:spacing w:after="140"/>
        <w:jc w:val="both"/>
      </w:pPr>
      <w:r>
        <w:rPr>
          <w:rFonts w:ascii="Arial" w:cs="Arial" w:eastAsia="Arial" w:hAnsi="Arial"/>
          <w:color w:val="1E293B"/>
          <w:sz w:val="22"/>
          <w:szCs w:val="22"/>
        </w:rPr>
        <w:t xml:space="preserve">The dataset is divided into training, validation, and test subsets using stratified random splitting to preserve class proportions across all subsets. The split ratios are as follows: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tblGrid>
      <w:tr>
        <w:tc>
          <w:tcPr>
            <w:tcW w:type="dxa" w:w="24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Subset</w:t>
            </w:r>
          </w:p>
        </w:tc>
        <w:tc>
          <w:tcPr>
            <w:tcW w:type="dxa" w:w="1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Images</w:t>
            </w:r>
          </w:p>
        </w:tc>
        <w:tc>
          <w:tcPr>
            <w:tcW w:type="dxa" w:w="1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c>
          <w:tcPr>
            <w:tcW w:type="dxa" w:w="1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Training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19,842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~9,921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Validation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2,205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~1,103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5,511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~2,756</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Total</w:t>
            </w:r>
          </w:p>
        </w:tc>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27,558</w:t>
            </w:r>
          </w:p>
        </w:tc>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100%</w:t>
            </w:r>
          </w:p>
        </w:tc>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13,779</w:t>
            </w:r>
          </w:p>
        </w:tc>
      </w:tr>
    </w:tbl>
    <w:p>
      <w:pPr>
        <w:pStyle w:val="Heading2"/>
        <w:spacing w:after="120" w:before="280"/>
      </w:pPr>
      <w:r>
        <w:rPr>
          <w:rFonts w:ascii="Arial" w:cs="Arial" w:eastAsia="Arial" w:hAnsi="Arial"/>
          <w:b/>
          <w:bCs/>
          <w:color w:val="1C7293"/>
          <w:sz w:val="26"/>
          <w:szCs w:val="26"/>
        </w:rPr>
        <w:t xml:space="preserve">3.3 Data Preprocessing</w:t>
      </w:r>
    </w:p>
    <w:p>
      <w:pPr>
        <w:spacing w:after="140"/>
        <w:jc w:val="both"/>
      </w:pPr>
      <w:r>
        <w:rPr>
          <w:rFonts w:ascii="Arial" w:cs="Arial" w:eastAsia="Arial" w:hAnsi="Arial"/>
          <w:color w:val="1E293B"/>
          <w:sz w:val="22"/>
          <w:szCs w:val="22"/>
        </w:rPr>
        <w:t xml:space="preserve">All images undergo a standardised preprocessing pipeline before being fed into the model:</w:t>
      </w:r>
    </w:p>
    <w:p>
      <w:pPr>
        <w:pStyle w:val="ListParagraph"/>
        <w:numPr>
          <w:ilvl w:val="0"/>
          <w:numId w:val="2"/>
        </w:numPr>
        <w:spacing w:after="80"/>
      </w:pPr>
      <w:r>
        <w:rPr>
          <w:rFonts w:ascii="Arial" w:cs="Arial" w:eastAsia="Arial" w:hAnsi="Arial"/>
          <w:color w:val="1E293B"/>
          <w:sz w:val="22"/>
          <w:szCs w:val="22"/>
        </w:rPr>
        <w:t xml:space="preserve">Resizing: All images are resized to 96 × 96 pixels using bilinear interpolation. This size balances spatial resolution with computational efficiency and is compatible with MobileNetV2's input requirements.</w:t>
      </w:r>
    </w:p>
    <w:p>
      <w:pPr>
        <w:pStyle w:val="ListParagraph"/>
        <w:numPr>
          <w:ilvl w:val="0"/>
          <w:numId w:val="2"/>
        </w:numPr>
        <w:spacing w:after="80"/>
      </w:pPr>
      <w:r>
        <w:rPr>
          <w:rFonts w:ascii="Arial" w:cs="Arial" w:eastAsia="Arial" w:hAnsi="Arial"/>
          <w:color w:val="1E293B"/>
          <w:sz w:val="22"/>
          <w:szCs w:val="22"/>
        </w:rPr>
        <w:t xml:space="preserve">Normalisation: Pixel values are scaled from [0, 255] to [0.0, 1.0] by dividing by 255.0. This ensures consistent input magnitude and accelerates gradient descent convergence.</w:t>
      </w:r>
    </w:p>
    <w:p>
      <w:pPr>
        <w:pStyle w:val="ListParagraph"/>
        <w:numPr>
          <w:ilvl w:val="0"/>
          <w:numId w:val="2"/>
        </w:numPr>
        <w:spacing w:after="80"/>
      </w:pPr>
      <w:r>
        <w:rPr>
          <w:rFonts w:ascii="Arial" w:cs="Arial" w:eastAsia="Arial" w:hAnsi="Arial"/>
          <w:color w:val="1E293B"/>
          <w:sz w:val="22"/>
          <w:szCs w:val="22"/>
        </w:rPr>
        <w:t xml:space="preserve">Channel Consistency: All images are loaded in RGB format (3 channels) to match the pretrained MobileNetV2 input specification.</w:t>
      </w:r>
    </w:p>
    <w:p>
      <w:pPr>
        <w:pStyle w:val="ListParagraph"/>
        <w:numPr>
          <w:ilvl w:val="0"/>
          <w:numId w:val="2"/>
        </w:numPr>
        <w:spacing w:after="80"/>
      </w:pPr>
      <w:r>
        <w:rPr>
          <w:rFonts w:ascii="Arial" w:cs="Arial" w:eastAsia="Arial" w:hAnsi="Arial"/>
          <w:color w:val="1E293B"/>
          <w:sz w:val="22"/>
          <w:szCs w:val="22"/>
        </w:rPr>
        <w:t xml:space="preserve">Array Conversion: PIL images are converted to NumPy float32 arrays for efficient batch processing during training.</w:t>
      </w:r>
    </w:p>
    <w:p>
      <w:pPr>
        <w:pStyle w:val="Heading2"/>
        <w:spacing w:after="120" w:before="280"/>
      </w:pPr>
      <w:r>
        <w:rPr>
          <w:rFonts w:ascii="Arial" w:cs="Arial" w:eastAsia="Arial" w:hAnsi="Arial"/>
          <w:b/>
          <w:bCs/>
          <w:color w:val="1C7293"/>
          <w:sz w:val="26"/>
          <w:szCs w:val="26"/>
        </w:rPr>
        <w:t xml:space="preserve">3.4 Data Augmentation</w:t>
      </w:r>
    </w:p>
    <w:p>
      <w:pPr>
        <w:spacing w:after="140"/>
        <w:jc w:val="both"/>
      </w:pPr>
      <w:r>
        <w:rPr>
          <w:rFonts w:ascii="Arial" w:cs="Arial" w:eastAsia="Arial" w:hAnsi="Arial"/>
          <w:color w:val="1E293B"/>
          <w:sz w:val="22"/>
          <w:szCs w:val="22"/>
        </w:rPr>
        <w:t xml:space="preserve">Data augmentation is applied exclusively to the training set using TensorFlow's ImageDataGenerator. Augmentation artificially expands the effective training set, improves generalisation, and reduces overfitting by exposing the model to a diverse range of image variations that simulate real-world acquisition conditions.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Augmentation Technique</w:t>
            </w:r>
          </w:p>
        </w:tc>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 Value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Rotation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 degrees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Horizontal Flip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Enabled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Vertical Flip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Enabled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Zoom 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Width Shift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±10% of width</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Height Shift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±10% of height</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Brightness 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[0.8, 1.2]</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Shear 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0.1</w:t>
            </w:r>
          </w:p>
        </w:tc>
      </w:tr>
    </w:tbl>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4. Methodology</w:t>
      </w:r>
    </w:p>
    <w:p>
      <w:pPr>
        <w:pStyle w:val="Heading2"/>
        <w:spacing w:after="120" w:before="280"/>
      </w:pPr>
      <w:r>
        <w:rPr>
          <w:rFonts w:ascii="Arial" w:cs="Arial" w:eastAsia="Arial" w:hAnsi="Arial"/>
          <w:b/>
          <w:bCs/>
          <w:color w:val="1C7293"/>
          <w:sz w:val="26"/>
          <w:szCs w:val="26"/>
        </w:rPr>
        <w:t xml:space="preserve">4.1 System Overview</w:t>
      </w:r>
    </w:p>
    <w:p>
      <w:pPr>
        <w:spacing w:after="140"/>
        <w:jc w:val="both"/>
      </w:pPr>
      <w:r>
        <w:rPr>
          <w:rFonts w:ascii="Arial" w:cs="Arial" w:eastAsia="Arial" w:hAnsi="Arial"/>
          <w:color w:val="1E293B"/>
          <w:sz w:val="22"/>
          <w:szCs w:val="22"/>
        </w:rPr>
        <w:t xml:space="preserve">The system consists of two primary components: a deep learning training pipeline and a web-based inference application. The training pipeline loads and preprocesses the dataset, constructs the MobileNetV2-based model, trains it using the two-phase strategy, evaluates it on the test set, and persists the best model weights to disk. The inference application loads the saved model and provides a Streamlit web interface through which users can submit blood cell images for real-time classification.</w:t>
      </w:r>
    </w:p>
    <w:p>
      <w:pPr>
        <w:pStyle w:val="Heading2"/>
        <w:spacing w:after="120" w:before="280"/>
      </w:pPr>
      <w:r>
        <w:rPr>
          <w:rFonts w:ascii="Arial" w:cs="Arial" w:eastAsia="Arial" w:hAnsi="Arial"/>
          <w:b/>
          <w:bCs/>
          <w:color w:val="1C7293"/>
          <w:sz w:val="26"/>
          <w:szCs w:val="26"/>
        </w:rPr>
        <w:t xml:space="preserve">4.2 MobileNetV2 Architecture</w:t>
      </w:r>
    </w:p>
    <w:p>
      <w:pPr>
        <w:spacing w:after="140"/>
        <w:jc w:val="both"/>
      </w:pPr>
      <w:r>
        <w:rPr>
          <w:rFonts w:ascii="Arial" w:cs="Arial" w:eastAsia="Arial" w:hAnsi="Arial"/>
          <w:color w:val="1E293B"/>
          <w:sz w:val="22"/>
          <w:szCs w:val="22"/>
        </w:rPr>
        <w:t xml:space="preserve">MobileNetV2 (Sandler et al., 2018) is selected as the backbone for its superior accuracy-to-parameter ratio and proven effectiveness in transfer learning scenarios with limited training data. Its key architectural innovations include:</w:t>
      </w:r>
    </w:p>
    <w:p>
      <w:pPr>
        <w:pStyle w:val="ListParagraph"/>
        <w:numPr>
          <w:ilvl w:val="0"/>
          <w:numId w:val="2"/>
        </w:numPr>
        <w:spacing w:after="80"/>
      </w:pPr>
      <w:r>
        <w:rPr>
          <w:rFonts w:ascii="Arial" w:cs="Arial" w:eastAsia="Arial" w:hAnsi="Arial"/>
          <w:color w:val="1E293B"/>
          <w:sz w:val="22"/>
          <w:szCs w:val="22"/>
        </w:rPr>
        <w:t xml:space="preserve">Inverted Residuals: Unlike traditional residual blocks that use wide-narrow-wide layer sequences, MobileNetV2 uses narrow-wide-narrow (bottleneck) blocks with residual connections in the narrow space. This reduces memory footprint while maintaining representational power.</w:t>
      </w:r>
    </w:p>
    <w:p>
      <w:pPr>
        <w:pStyle w:val="ListParagraph"/>
        <w:numPr>
          <w:ilvl w:val="0"/>
          <w:numId w:val="2"/>
        </w:numPr>
        <w:spacing w:after="80"/>
      </w:pPr>
      <w:r>
        <w:rPr>
          <w:rFonts w:ascii="Arial" w:cs="Arial" w:eastAsia="Arial" w:hAnsi="Arial"/>
          <w:color w:val="1E293B"/>
          <w:sz w:val="22"/>
          <w:szCs w:val="22"/>
        </w:rPr>
        <w:t xml:space="preserve">Linear Bottlenecks: The final layer of each bottleneck uses a linear (no-activation) transformation. Sandler et al. demonstrated that applying ReLU in low-dimensional spaces causes significant information loss, so linear activations preserve the manifold of interest.</w:t>
      </w:r>
    </w:p>
    <w:p>
      <w:pPr>
        <w:pStyle w:val="ListParagraph"/>
        <w:numPr>
          <w:ilvl w:val="0"/>
          <w:numId w:val="2"/>
        </w:numPr>
        <w:spacing w:after="80"/>
      </w:pPr>
      <w:r>
        <w:rPr>
          <w:rFonts w:ascii="Arial" w:cs="Arial" w:eastAsia="Arial" w:hAnsi="Arial"/>
          <w:color w:val="1E293B"/>
          <w:sz w:val="22"/>
          <w:szCs w:val="22"/>
        </w:rPr>
        <w:t xml:space="preserve">Depthwise Separable Convolutions: Standard convolutions are factored into a depthwise convolution (spatial filtering) followed by a pointwise convolution (channel mixing), reducing computation by a factor of 8 to 9 compared to standard convolutions.</w:t>
      </w:r>
    </w:p>
    <w:p>
      <w:pPr>
        <w:spacing w:after="140"/>
        <w:jc w:val="both"/>
      </w:pPr>
      <w:r>
        <w:rPr>
          <w:rFonts w:ascii="Arial" w:cs="Arial" w:eastAsia="Arial" w:hAnsi="Arial"/>
          <w:color w:val="1E293B"/>
          <w:sz w:val="22"/>
          <w:szCs w:val="22"/>
        </w:rPr>
        <w:t xml:space="preserve">The pretrained MobileNetV2 backbone outputs a feature map of shape (3, 3, 1280) for a 96×96 input image. This captures rich hierarchical visual features learned from ImageNet's 1.4 million images across 1,000 classes, providing an exceptionally strong starting point for blood cell analysis.</w:t>
      </w:r>
    </w:p>
    <w:p>
      <w:pPr>
        <w:pStyle w:val="Heading2"/>
        <w:spacing w:after="120" w:before="280"/>
      </w:pPr>
      <w:r>
        <w:rPr>
          <w:rFonts w:ascii="Arial" w:cs="Arial" w:eastAsia="Arial" w:hAnsi="Arial"/>
          <w:b/>
          <w:bCs/>
          <w:color w:val="1C7293"/>
          <w:sz w:val="26"/>
          <w:szCs w:val="26"/>
        </w:rPr>
        <w:t xml:space="preserve">4.3 Classification Head</w:t>
      </w:r>
    </w:p>
    <w:p>
      <w:pPr>
        <w:spacing w:after="140"/>
        <w:jc w:val="both"/>
      </w:pPr>
      <w:r>
        <w:rPr>
          <w:rFonts w:ascii="Arial" w:cs="Arial" w:eastAsia="Arial" w:hAnsi="Arial"/>
          <w:color w:val="1E293B"/>
          <w:sz w:val="22"/>
          <w:szCs w:val="22"/>
        </w:rPr>
        <w:t xml:space="preserve">A custom classification head is appended to the MobileNetV2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Shape</w:t>
            </w:r>
          </w:p>
        </w:tc>
        <w:tc>
          <w:tcPr>
            <w:tcW w:type="dxa" w:w="234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c>
          <w:tcPr>
            <w:tcW w:type="dxa" w:w="234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GlobalAveragePooling2D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(1280,)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Spatial aggregation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Dense (256, 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327,936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High-level features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BatchNormalization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Training stability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Dropout (0.4)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Regularisation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Dense (128, 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32,896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Feature compression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BatchNormalization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Training stability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Dropout (0.3)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Regularisation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Dense (1, Sigmoid)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Binary output</w:t>
            </w:r>
          </w:p>
        </w:tc>
      </w:tr>
    </w:tbl>
    <w:p>
      <w:pPr>
        <w:spacing w:after="120"/>
      </w:pPr>
      <w:r>
        <w:t xml:space="preserve"/>
      </w:r>
    </w:p>
    <w:p>
      <w:pPr>
        <w:spacing w:after="140"/>
        <w:jc w:val="both"/>
      </w:pPr>
      <w:r>
        <w:rPr>
          <w:rFonts w:ascii="Arial" w:cs="Arial" w:eastAsia="Arial" w:hAnsi="Arial"/>
          <w:color w:val="1E293B"/>
          <w:sz w:val="22"/>
          <w:szCs w:val="22"/>
        </w:rPr>
        <w:t xml:space="preserve">The sigmoid activation in the output layer produces a probability score in [0, 1]. A threshold of 0.5 is applied: scores above 0.5 are classified as Parasitized and scores at or below 0.5 are classified as Uninfected.</w:t>
      </w:r>
    </w:p>
    <w:p>
      <w:pPr>
        <w:pStyle w:val="Heading2"/>
        <w:spacing w:after="120" w:before="280"/>
      </w:pPr>
      <w:r>
        <w:rPr>
          <w:rFonts w:ascii="Arial" w:cs="Arial" w:eastAsia="Arial" w:hAnsi="Arial"/>
          <w:b/>
          <w:bCs/>
          <w:color w:val="1C7293"/>
          <w:sz w:val="26"/>
          <w:szCs w:val="26"/>
        </w:rPr>
        <w:t xml:space="preserve">4.4 Two-Phase Training Strategy</w:t>
      </w:r>
    </w:p>
    <w:p>
      <w:pPr>
        <w:pStyle w:val="Heading3"/>
        <w:spacing w:after="100" w:before="200"/>
      </w:pPr>
      <w:r>
        <w:rPr>
          <w:rFonts w:ascii="Arial" w:cs="Arial" w:eastAsia="Arial" w:hAnsi="Arial"/>
          <w:b/>
          <w:bCs/>
          <w:color w:val="0A2342"/>
          <w:sz w:val="22"/>
          <w:szCs w:val="22"/>
        </w:rPr>
        <w:t xml:space="preserve">Phase 1 — Classification Head Training</w:t>
      </w:r>
    </w:p>
    <w:p>
      <w:pPr>
        <w:spacing w:after="140"/>
        <w:jc w:val="both"/>
      </w:pPr>
      <w:r>
        <w:rPr>
          <w:rFonts w:ascii="Arial" w:cs="Arial" w:eastAsia="Arial" w:hAnsi="Arial"/>
          <w:color w:val="1E293B"/>
          <w:sz w:val="22"/>
          <w:szCs w:val="22"/>
        </w:rPr>
        <w:t xml:space="preserve">In the first phase, the entire MobileNetV2 backbone is frozen (trainable=False), and only the custom classification head is trained. This approach is standard practice in transfer learning and is motivated by several considerations:</w:t>
      </w:r>
    </w:p>
    <w:p>
      <w:pPr>
        <w:pStyle w:val="ListParagraph"/>
        <w:numPr>
          <w:ilvl w:val="0"/>
          <w:numId w:val="2"/>
        </w:numPr>
        <w:spacing w:after="80"/>
      </w:pPr>
      <w:r>
        <w:rPr>
          <w:rFonts w:ascii="Arial" w:cs="Arial" w:eastAsia="Arial" w:hAnsi="Arial"/>
          <w:color w:val="1E293B"/>
          <w:sz w:val="22"/>
          <w:szCs w:val="22"/>
        </w:rPr>
        <w:t xml:space="preserve">The backbone weights contain highly valuable pretrained features that should not be disrupted by the large gradients that emerge at the beginning of training.</w:t>
      </w:r>
    </w:p>
    <w:p>
      <w:pPr>
        <w:pStyle w:val="ListParagraph"/>
        <w:numPr>
          <w:ilvl w:val="0"/>
          <w:numId w:val="2"/>
        </w:numPr>
        <w:spacing w:after="80"/>
      </w:pPr>
      <w:r>
        <w:rPr>
          <w:rFonts w:ascii="Arial" w:cs="Arial" w:eastAsia="Arial" w:hAnsi="Arial"/>
          <w:color w:val="1E293B"/>
          <w:sz w:val="22"/>
          <w:szCs w:val="22"/>
        </w:rPr>
        <w:t xml:space="preserve">Training only the head (approximately 363,000 parameters) is computationally efficient.</w:t>
      </w:r>
    </w:p>
    <w:p>
      <w:pPr>
        <w:pStyle w:val="ListParagraph"/>
        <w:numPr>
          <w:ilvl w:val="0"/>
          <w:numId w:val="2"/>
        </w:numPr>
        <w:spacing w:after="80"/>
      </w:pPr>
      <w:r>
        <w:rPr>
          <w:rFonts w:ascii="Arial" w:cs="Arial" w:eastAsia="Arial" w:hAnsi="Arial"/>
          <w:color w:val="1E293B"/>
          <w:sz w:val="22"/>
          <w:szCs w:val="22"/>
        </w:rPr>
        <w:t xml:space="preserve">The head rapidly learns to map MobileNetV2 features to the binary malaria classification task.</w:t>
      </w:r>
    </w:p>
    <w:p>
      <w:pPr>
        <w:spacing w:after="140"/>
        <w:jc w:val="both"/>
      </w:pPr>
      <w:r>
        <w:rPr>
          <w:rFonts w:ascii="Arial" w:cs="Arial" w:eastAsia="Arial" w:hAnsi="Arial"/>
          <w:color w:val="1E293B"/>
          <w:sz w:val="22"/>
          <w:szCs w:val="22"/>
        </w:rPr>
        <w:t xml:space="preserve">Phase 1 runs for up to 20 epochs with early stopping (patience=5). The Adam optimiser is used with a learning rate of 1e-4.</w:t>
      </w:r>
    </w:p>
    <w:p>
      <w:pPr>
        <w:pStyle w:val="Heading3"/>
        <w:spacing w:after="100" w:before="200"/>
      </w:pPr>
      <w:r>
        <w:rPr>
          <w:rFonts w:ascii="Arial" w:cs="Arial" w:eastAsia="Arial" w:hAnsi="Arial"/>
          <w:b/>
          <w:bCs/>
          <w:color w:val="0A2342"/>
          <w:sz w:val="22"/>
          <w:szCs w:val="22"/>
        </w:rPr>
        <w:t xml:space="preserve">Phase 2 — Fine-Tuning</w:t>
      </w:r>
    </w:p>
    <w:p>
      <w:pPr>
        <w:spacing w:after="140"/>
        <w:jc w:val="both"/>
      </w:pPr>
      <w:r>
        <w:rPr>
          <w:rFonts w:ascii="Arial" w:cs="Arial" w:eastAsia="Arial" w:hAnsi="Arial"/>
          <w:color w:val="1E293B"/>
          <w:sz w:val="22"/>
          <w:szCs w:val="22"/>
        </w:rPr>
        <w:t xml:space="preserve">In the second phase, the top 40 layers of the MobileNetV2 backbone are unfrozen and trained jointly with the classification head. This allows the model to adapt the high-level pretrained features to the specific characteristics of malaria blood cell images, such as the distinctive shapes and staining patterns of Plasmodium parasites.</w:t>
      </w:r>
    </w:p>
    <w:p>
      <w:pPr>
        <w:spacing w:after="140"/>
        <w:jc w:val="both"/>
      </w:pPr>
      <w:r>
        <w:rPr>
          <w:rFonts w:ascii="Arial" w:cs="Arial" w:eastAsia="Arial" w:hAnsi="Arial"/>
          <w:color w:val="1E293B"/>
          <w:sz w:val="22"/>
          <w:szCs w:val="22"/>
        </w:rPr>
        <w:t xml:space="preserve">A significantly reduced learning rate of 1e-5 is used during fine-tuning to prevent catastrophic forgetting — a phenomenon where aggressive weight updates in the pretrained layers destroy previously learned representations. Phase 2 runs for up to 10 additional epochs.</w:t>
      </w:r>
    </w:p>
    <w:p>
      <w:pPr>
        <w:pStyle w:val="Heading2"/>
        <w:spacing w:after="120" w:before="280"/>
      </w:pPr>
      <w:r>
        <w:rPr>
          <w:rFonts w:ascii="Arial" w:cs="Arial" w:eastAsia="Arial" w:hAnsi="Arial"/>
          <w:b/>
          <w:bCs/>
          <w:color w:val="1C7293"/>
          <w:sz w:val="26"/>
          <w:szCs w:val="26"/>
        </w:rPr>
        <w:t xml:space="preserve">4.5 Loss Function and Optimiser</w:t>
      </w:r>
    </w:p>
    <w:p>
      <w:pPr>
        <w:spacing w:after="140"/>
        <w:jc w:val="both"/>
      </w:pPr>
      <w:r>
        <w:rPr>
          <w:rFonts w:ascii="Arial" w:cs="Arial" w:eastAsia="Arial" w:hAnsi="Arial"/>
          <w:b/>
          <w:bCs/>
          <w:color w:val="0A2342"/>
          <w:sz w:val="22"/>
          <w:szCs w:val="22"/>
        </w:rPr>
        <w:t xml:space="preserve">Loss Function: </w:t>
      </w:r>
      <w:r>
        <w:rPr>
          <w:rFonts w:ascii="Arial" w:cs="Arial" w:eastAsia="Arial" w:hAnsi="Arial"/>
          <w:color w:val="1E293B"/>
          <w:sz w:val="22"/>
          <w:szCs w:val="22"/>
        </w:rPr>
        <w:t xml:space="preserve">Binary Cross-Entropy — appropriate for binary classification. It measures the divergence between predicted probabilities and true binary labels.</w:t>
      </w:r>
    </w:p>
    <w:p>
      <w:pPr>
        <w:spacing w:after="140"/>
        <w:jc w:val="both"/>
      </w:pPr>
      <w:r>
        <w:rPr>
          <w:rFonts w:ascii="Arial" w:cs="Arial" w:eastAsia="Arial" w:hAnsi="Arial"/>
          <w:b/>
          <w:bCs/>
          <w:color w:val="0A2342"/>
          <w:sz w:val="22"/>
          <w:szCs w:val="22"/>
        </w:rPr>
        <w:t xml:space="preserve">Optimiser: </w:t>
      </w:r>
      <w:r>
        <w:rPr>
          <w:rFonts w:ascii="Arial" w:cs="Arial" w:eastAsia="Arial" w:hAnsi="Arial"/>
          <w:color w:val="1E293B"/>
          <w:sz w:val="22"/>
          <w:szCs w:val="22"/>
        </w:rPr>
        <w:t xml:space="preserve">Adam (Adaptive Moment Estimation) — combines momentum and RMSProp, providing fast convergence and robustness to hyperparameter choices.</w:t>
      </w:r>
    </w:p>
    <w:p>
      <w:pPr>
        <w:spacing w:after="140"/>
        <w:jc w:val="both"/>
      </w:pPr>
      <w:r>
        <w:rPr>
          <w:rFonts w:ascii="Arial" w:cs="Arial" w:eastAsia="Arial" w:hAnsi="Arial"/>
          <w:b/>
          <w:bCs/>
          <w:color w:val="0A2342"/>
          <w:sz w:val="22"/>
          <w:szCs w:val="22"/>
        </w:rPr>
        <w:t xml:space="preserve">Metric: </w:t>
      </w:r>
      <w:r>
        <w:rPr>
          <w:rFonts w:ascii="Arial" w:cs="Arial" w:eastAsia="Arial" w:hAnsi="Arial"/>
          <w:color w:val="1E293B"/>
          <w:sz w:val="22"/>
          <w:szCs w:val="22"/>
        </w:rPr>
        <w:t xml:space="preserve">Binary accuracy — proportion of correctly classified samples across both classes.</w:t>
      </w:r>
    </w:p>
    <w:p>
      <w:pPr>
        <w:pStyle w:val="Heading2"/>
        <w:spacing w:after="120" w:before="280"/>
      </w:pPr>
      <w:r>
        <w:rPr>
          <w:rFonts w:ascii="Arial" w:cs="Arial" w:eastAsia="Arial" w:hAnsi="Arial"/>
          <w:b/>
          <w:bCs/>
          <w:color w:val="1C7293"/>
          <w:sz w:val="26"/>
          <w:szCs w:val="26"/>
        </w:rPr>
        <w:t xml:space="preserve">4.6 Callbacks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Callback</w:t>
            </w:r>
          </w:p>
        </w:tc>
        <w:tc>
          <w:tcPr>
            <w:tcW w:type="dxa" w:w="35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3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EarlyStopping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Monitor: val_loss, Patience: 5, restore_best_weights: True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Prevents overfitting; restores best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ModelCheckpoint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Monitor: val_accuracy, save_best_only: True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Saves the best performing model weights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ReduceLROnPlateau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Monitor: val_loss, Factor: 0.5, Patience: 3, min_lr: 1e-7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Halves learning rate when loss stagnates</w:t>
            </w:r>
          </w:p>
        </w:tc>
      </w:tr>
    </w:tbl>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5. Implementation</w:t>
      </w:r>
    </w:p>
    <w:p>
      <w:pPr>
        <w:pStyle w:val="Heading2"/>
        <w:spacing w:after="120" w:before="280"/>
      </w:pPr>
      <w:r>
        <w:rPr>
          <w:rFonts w:ascii="Arial" w:cs="Arial" w:eastAsia="Arial" w:hAnsi="Arial"/>
          <w:b/>
          <w:bCs/>
          <w:color w:val="1C7293"/>
          <w:sz w:val="26"/>
          <w:szCs w:val="26"/>
        </w:rPr>
        <w:t xml:space="preserve">5.1 Development Environment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Operating System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macOS (Apple Silicon / Intel)</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Programming Language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Python 3.12.2</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Visual Studio Code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Deep Learning Framework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TensorFlow 2.16.1 / Keras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Web Framework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Streamlit</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Image Processing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Pillow, OpenCV</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Data Processing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NumPy, scikit-learn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Visualisation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Matplotlib</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Environment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Python Virtual Environment (venv)</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Dataset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NIH Malaria Cell Images (Kaggle)</w:t>
            </w:r>
          </w:p>
        </w:tc>
      </w:tr>
    </w:tbl>
    <w:p>
      <w:pPr>
        <w:pStyle w:val="Heading2"/>
        <w:spacing w:after="120" w:before="280"/>
      </w:pPr>
      <w:r>
        <w:rPr>
          <w:rFonts w:ascii="Arial" w:cs="Arial" w:eastAsia="Arial" w:hAnsi="Arial"/>
          <w:b/>
          <w:bCs/>
          <w:color w:val="1C7293"/>
          <w:sz w:val="26"/>
          <w:szCs w:val="26"/>
        </w:rPr>
        <w:t xml:space="preserve">5.2 Project Structure</w:t>
      </w:r>
    </w:p>
    <w:p>
      <w:pPr>
        <w:spacing w:after="140"/>
        <w:jc w:val="both"/>
      </w:pPr>
      <w:r>
        <w:rPr>
          <w:rFonts w:ascii="Arial" w:cs="Arial" w:eastAsia="Arial" w:hAnsi="Arial"/>
          <w:color w:val="1E293B"/>
          <w:sz w:val="22"/>
          <w:szCs w:val="22"/>
        </w:rPr>
        <w:t xml:space="preserve">The project is organised into the following directory structure:</w:t>
      </w:r>
    </w:p>
    <w:p>
      <w:pPr>
        <w:spacing w:after="200" w:before="120"/>
        <w:ind w:left="360"/>
      </w:pPr>
      <w:r>
        <w:rPr>
          <w:rFonts w:ascii="Courier New" w:cs="Courier New" w:eastAsia="Courier New" w:hAnsi="Courier New"/>
          <w:color w:val="1E293B"/>
          <w:sz w:val="18"/>
          <w:szCs w:val="18"/>
        </w:rPr>
        <w:t xml:space="preserve">malaria_detection/
├── venv/                      ← Python virtual environment
├── dataset/
│   ├── Parasitized/           ← 13,779 infected cell images
│   └── Uninfected/            ← 13,779 healthy cell images
├── model/
│   ├── malaria_model.h5       ← saved trained model
│   └── training_curves.png    ← accuracy/loss plots
├── train.py                   ← training pipeline
└── app.py                     ← Streamlit web application</w:t>
      </w:r>
    </w:p>
    <w:p>
      <w:pPr>
        <w:pStyle w:val="Heading2"/>
        <w:spacing w:after="120" w:before="280"/>
      </w:pPr>
      <w:r>
        <w:rPr>
          <w:rFonts w:ascii="Arial" w:cs="Arial" w:eastAsia="Arial" w:hAnsi="Arial"/>
          <w:b/>
          <w:bCs/>
          <w:color w:val="1C7293"/>
          <w:sz w:val="26"/>
          <w:szCs w:val="26"/>
        </w:rPr>
        <w:t xml:space="preserve">5.3 Training Pipeline (train.py)</w:t>
      </w:r>
    </w:p>
    <w:p>
      <w:pPr>
        <w:spacing w:after="140"/>
        <w:jc w:val="both"/>
      </w:pPr>
      <w:r>
        <w:rPr>
          <w:rFonts w:ascii="Arial" w:cs="Arial" w:eastAsia="Arial" w:hAnsi="Arial"/>
          <w:color w:val="1E293B"/>
          <w:sz w:val="22"/>
          <w:szCs w:val="22"/>
        </w:rPr>
        <w:t xml:space="preserve">The training script implements the complete model training pipeline in nine sequential stages:</w:t>
      </w:r>
    </w:p>
    <w:p>
      <w:pPr>
        <w:pStyle w:val="ListParagraph"/>
        <w:numPr>
          <w:ilvl w:val="0"/>
          <w:numId w:val="3"/>
        </w:numPr>
        <w:spacing w:after="80"/>
      </w:pPr>
      <w:r>
        <w:rPr>
          <w:rFonts w:ascii="Arial" w:cs="Arial" w:eastAsia="Arial" w:hAnsi="Arial"/>
          <w:color w:val="1E293B"/>
          <w:sz w:val="22"/>
          <w:szCs w:val="22"/>
        </w:rPr>
        <w:t xml:space="preserve">Configuration — Defines global hyperparameters: image size (96×96), batch size (32), maximum epochs (20), dataset directory, and model save path.</w:t>
      </w:r>
    </w:p>
    <w:p>
      <w:pPr>
        <w:pStyle w:val="ListParagraph"/>
        <w:numPr>
          <w:ilvl w:val="0"/>
          <w:numId w:val="3"/>
        </w:numPr>
        <w:spacing w:after="80"/>
      </w:pPr>
      <w:r>
        <w:rPr>
          <w:rFonts w:ascii="Arial" w:cs="Arial" w:eastAsia="Arial" w:hAnsi="Arial"/>
          <w:color w:val="1E293B"/>
          <w:sz w:val="22"/>
          <w:szCs w:val="22"/>
        </w:rPr>
        <w:t xml:space="preserve">Data Loading — Iterates through both class directories, loads each image using Keras's load_img, converts to a NumPy array, and normalises pixel values to [0, 1]. Invalid/corrupted files are gracefully skipped.</w:t>
      </w:r>
    </w:p>
    <w:p>
      <w:pPr>
        <w:pStyle w:val="ListParagraph"/>
        <w:numPr>
          <w:ilvl w:val="0"/>
          <w:numId w:val="3"/>
        </w:numPr>
        <w:spacing w:after="80"/>
      </w:pPr>
      <w:r>
        <w:rPr>
          <w:rFonts w:ascii="Arial" w:cs="Arial" w:eastAsia="Arial" w:hAnsi="Arial"/>
          <w:color w:val="1E293B"/>
          <w:sz w:val="22"/>
          <w:szCs w:val="22"/>
        </w:rPr>
        <w:t xml:space="preserve">Data Splitting — Applies stratified train/val/test split using scikit-learn's train_test_split to preserve class balance across all subsets.</w:t>
      </w:r>
    </w:p>
    <w:p>
      <w:pPr>
        <w:pStyle w:val="ListParagraph"/>
        <w:numPr>
          <w:ilvl w:val="0"/>
          <w:numId w:val="3"/>
        </w:numPr>
        <w:spacing w:after="80"/>
      </w:pPr>
      <w:r>
        <w:rPr>
          <w:rFonts w:ascii="Arial" w:cs="Arial" w:eastAsia="Arial" w:hAnsi="Arial"/>
          <w:color w:val="1E293B"/>
          <w:sz w:val="22"/>
          <w:szCs w:val="22"/>
        </w:rPr>
        <w:t xml:space="preserve">Augmentation — Initialises an ImageDataGenerator with the augmentation parameters described in Section 3.4 and fits it on the training set statistics.</w:t>
      </w:r>
    </w:p>
    <w:p>
      <w:pPr>
        <w:pStyle w:val="ListParagraph"/>
        <w:numPr>
          <w:ilvl w:val="0"/>
          <w:numId w:val="3"/>
        </w:numPr>
        <w:spacing w:after="80"/>
      </w:pPr>
      <w:r>
        <w:rPr>
          <w:rFonts w:ascii="Arial" w:cs="Arial" w:eastAsia="Arial" w:hAnsi="Arial"/>
          <w:color w:val="1E293B"/>
          <w:sz w:val="22"/>
          <w:szCs w:val="22"/>
        </w:rPr>
        <w:t xml:space="preserve">Model Construction — Loads pretrained MobileNetV2 (weights='imagenet'), freezes the backbone, and appends the classification head.</w:t>
      </w:r>
    </w:p>
    <w:p>
      <w:pPr>
        <w:pStyle w:val="ListParagraph"/>
        <w:numPr>
          <w:ilvl w:val="0"/>
          <w:numId w:val="3"/>
        </w:numPr>
        <w:spacing w:after="80"/>
      </w:pPr>
      <w:r>
        <w:rPr>
          <w:rFonts w:ascii="Arial" w:cs="Arial" w:eastAsia="Arial" w:hAnsi="Arial"/>
          <w:color w:val="1E293B"/>
          <w:sz w:val="22"/>
          <w:szCs w:val="22"/>
        </w:rPr>
        <w:t xml:space="preserve">Phase 1 Training — Compiles the model with Adam (lr=1e-4) and binary cross-entropy loss, then trains on augmented batches for up to 20 epochs.</w:t>
      </w:r>
    </w:p>
    <w:p>
      <w:pPr>
        <w:pStyle w:val="ListParagraph"/>
        <w:numPr>
          <w:ilvl w:val="0"/>
          <w:numId w:val="3"/>
        </w:numPr>
        <w:spacing w:after="80"/>
      </w:pPr>
      <w:r>
        <w:rPr>
          <w:rFonts w:ascii="Arial" w:cs="Arial" w:eastAsia="Arial" w:hAnsi="Arial"/>
          <w:color w:val="1E293B"/>
          <w:sz w:val="22"/>
          <w:szCs w:val="22"/>
        </w:rPr>
        <w:t xml:space="preserve">Phase 2 Fine-Tuning — Unfreezes the top 40 backbone layers, recompiles with Adam (lr=1e-5), and trains for up to 10 additional epochs.</w:t>
      </w:r>
    </w:p>
    <w:p>
      <w:pPr>
        <w:pStyle w:val="ListParagraph"/>
        <w:numPr>
          <w:ilvl w:val="0"/>
          <w:numId w:val="3"/>
        </w:numPr>
        <w:spacing w:after="80"/>
      </w:pPr>
      <w:r>
        <w:rPr>
          <w:rFonts w:ascii="Arial" w:cs="Arial" w:eastAsia="Arial" w:hAnsi="Arial"/>
          <w:color w:val="1E293B"/>
          <w:sz w:val="22"/>
          <w:szCs w:val="22"/>
        </w:rPr>
        <w:t xml:space="preserve">Evaluation — Evaluates the best saved model on the held-out test set and reports accuracy and loss.</w:t>
      </w:r>
    </w:p>
    <w:p>
      <w:pPr>
        <w:pStyle w:val="ListParagraph"/>
        <w:numPr>
          <w:ilvl w:val="0"/>
          <w:numId w:val="3"/>
        </w:numPr>
        <w:spacing w:after="80"/>
      </w:pPr>
      <w:r>
        <w:rPr>
          <w:rFonts w:ascii="Arial" w:cs="Arial" w:eastAsia="Arial" w:hAnsi="Arial"/>
          <w:color w:val="1E293B"/>
          <w:sz w:val="22"/>
          <w:szCs w:val="22"/>
        </w:rPr>
        <w:t xml:space="preserve">Visualisation — Plots and saves training/validation accuracy and loss curves across both phases.</w:t>
      </w:r>
    </w:p>
    <w:p>
      <w:pPr>
        <w:pStyle w:val="Heading2"/>
        <w:spacing w:after="120" w:before="280"/>
      </w:pPr>
      <w:r>
        <w:rPr>
          <w:rFonts w:ascii="Arial" w:cs="Arial" w:eastAsia="Arial" w:hAnsi="Arial"/>
          <w:b/>
          <w:bCs/>
          <w:color w:val="1C7293"/>
          <w:sz w:val="26"/>
          <w:szCs w:val="26"/>
        </w:rPr>
        <w:t xml:space="preserve">5.4 Web Application (app.py)</w:t>
      </w:r>
    </w:p>
    <w:p>
      <w:pPr>
        <w:spacing w:after="140"/>
        <w:jc w:val="both"/>
      </w:pPr>
      <w:r>
        <w:rPr>
          <w:rFonts w:ascii="Arial" w:cs="Arial" w:eastAsia="Arial" w:hAnsi="Arial"/>
          <w:color w:val="1E293B"/>
          <w:sz w:val="22"/>
          <w:szCs w:val="22"/>
        </w:rPr>
        <w:t xml:space="preserve">The Streamlit application provides an intuitive interface for real-time inference:</w:t>
      </w:r>
    </w:p>
    <w:p>
      <w:pPr>
        <w:pStyle w:val="ListParagraph"/>
        <w:numPr>
          <w:ilvl w:val="0"/>
          <w:numId w:val="2"/>
        </w:numPr>
        <w:spacing w:after="80"/>
      </w:pPr>
      <w:r>
        <w:rPr>
          <w:rFonts w:ascii="Arial" w:cs="Arial" w:eastAsia="Arial" w:hAnsi="Arial"/>
          <w:color w:val="1E293B"/>
          <w:sz w:val="22"/>
          <w:szCs w:val="22"/>
        </w:rPr>
        <w:t xml:space="preserve">Model Loading — The trained model is loaded once at startup using @st.cache_resource, preventing redundant re-loading on each user interaction.</w:t>
      </w:r>
    </w:p>
    <w:p>
      <w:pPr>
        <w:pStyle w:val="ListParagraph"/>
        <w:numPr>
          <w:ilvl w:val="0"/>
          <w:numId w:val="2"/>
        </w:numPr>
        <w:spacing w:after="80"/>
      </w:pPr>
      <w:r>
        <w:rPr>
          <w:rFonts w:ascii="Arial" w:cs="Arial" w:eastAsia="Arial" w:hAnsi="Arial"/>
          <w:color w:val="1E293B"/>
          <w:sz w:val="22"/>
          <w:szCs w:val="22"/>
        </w:rPr>
        <w:t xml:space="preserve">Image Upload — A file uploader widget accepts PNG, JPG, and JPEG images from the user.</w:t>
      </w:r>
    </w:p>
    <w:p>
      <w:pPr>
        <w:pStyle w:val="ListParagraph"/>
        <w:numPr>
          <w:ilvl w:val="0"/>
          <w:numId w:val="2"/>
        </w:numPr>
        <w:spacing w:after="80"/>
      </w:pPr>
      <w:r>
        <w:rPr>
          <w:rFonts w:ascii="Arial" w:cs="Arial" w:eastAsia="Arial" w:hAnsi="Arial"/>
          <w:color w:val="1E293B"/>
          <w:sz w:val="22"/>
          <w:szCs w:val="22"/>
        </w:rPr>
        <w:t xml:space="preserve">Preprocessing — The uploaded image is resized to 96×96 pixels and normalised to [0, 1], exactly replicating the training preprocessing pipeline.</w:t>
      </w:r>
    </w:p>
    <w:p>
      <w:pPr>
        <w:pStyle w:val="ListParagraph"/>
        <w:numPr>
          <w:ilvl w:val="0"/>
          <w:numId w:val="2"/>
        </w:numPr>
        <w:spacing w:after="80"/>
      </w:pPr>
      <w:r>
        <w:rPr>
          <w:rFonts w:ascii="Arial" w:cs="Arial" w:eastAsia="Arial" w:hAnsi="Arial"/>
          <w:color w:val="1E293B"/>
          <w:sz w:val="22"/>
          <w:szCs w:val="22"/>
        </w:rPr>
        <w:t xml:space="preserve">Inference — The preprocessed image tensor is passed through the model to obtain a probability score.</w:t>
      </w:r>
    </w:p>
    <w:p>
      <w:pPr>
        <w:pStyle w:val="ListParagraph"/>
        <w:numPr>
          <w:ilvl w:val="0"/>
          <w:numId w:val="2"/>
        </w:numPr>
        <w:spacing w:after="80"/>
      </w:pPr>
      <w:r>
        <w:rPr>
          <w:rFonts w:ascii="Arial" w:cs="Arial" w:eastAsia="Arial" w:hAnsi="Arial"/>
          <w:color w:val="1E293B"/>
          <w:sz w:val="22"/>
          <w:szCs w:val="22"/>
        </w:rPr>
        <w:t xml:space="preserve">Results Display — The predicted class, confidence score, probability breakdown bars, and a confidence level badge are displayed in a two-column layout.</w:t>
      </w:r>
    </w:p>
    <w:p>
      <w:pPr>
        <w:pStyle w:val="ListParagraph"/>
        <w:numPr>
          <w:ilvl w:val="0"/>
          <w:numId w:val="2"/>
        </w:numPr>
        <w:spacing w:after="80"/>
      </w:pPr>
      <w:r>
        <w:rPr>
          <w:rFonts w:ascii="Arial" w:cs="Arial" w:eastAsia="Arial" w:hAnsi="Arial"/>
          <w:color w:val="1E293B"/>
          <w:sz w:val="22"/>
          <w:szCs w:val="22"/>
        </w:rPr>
        <w:t xml:space="preserve">Sidebar — An informational sidebar describes the model architecture, dataset, and system specifications.</w:t>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6. Results and Evaluation</w:t>
      </w:r>
    </w:p>
    <w:p>
      <w:pPr>
        <w:pStyle w:val="Heading2"/>
        <w:spacing w:after="120" w:before="280"/>
      </w:pPr>
      <w:r>
        <w:rPr>
          <w:rFonts w:ascii="Arial" w:cs="Arial" w:eastAsia="Arial" w:hAnsi="Arial"/>
          <w:b/>
          <w:bCs/>
          <w:color w:val="1C7293"/>
          <w:sz w:val="26"/>
          <w:szCs w:val="26"/>
        </w:rPr>
        <w:t xml:space="preserve">6.1 Training Performance</w:t>
      </w:r>
    </w:p>
    <w:p>
      <w:pPr>
        <w:spacing w:after="140"/>
        <w:jc w:val="both"/>
      </w:pPr>
      <w:r>
        <w:rPr>
          <w:rFonts w:ascii="Arial" w:cs="Arial" w:eastAsia="Arial" w:hAnsi="Arial"/>
          <w:color w:val="1E293B"/>
          <w:sz w:val="22"/>
          <w:szCs w:val="22"/>
        </w:rPr>
        <w:t xml:space="preserve">The model was trained using the two-phase strategy described in Section 4.4. Early stopping terminated Phase 1 training after 18 epochs (before reaching the maximum of 20), and Phase 2 fine-tuning completed all 10 epochs. The learning rate scheduler reduced the learning rate once during Phase 1 and once during Phase 2 in response to plateaus in validation loss.</w:t>
      </w:r>
    </w:p>
    <w:p>
      <w:pPr>
        <w:spacing w:after="140"/>
        <w:jc w:val="both"/>
      </w:pPr>
      <w:r>
        <w:rPr>
          <w:rFonts w:ascii="Arial" w:cs="Arial" w:eastAsia="Arial" w:hAnsi="Arial"/>
          <w:color w:val="1E293B"/>
          <w:sz w:val="22"/>
          <w:szCs w:val="22"/>
        </w:rPr>
        <w:t xml:space="preserve">Training curves demonstrate healthy convergence with consistent improvement in both training and validation accuracy across epochs. The gap between training and validation accuracy remained narrow throughout training, indicating good generalisation with minimal overfitting — attributable to the combined effect of dropout regularisation, batch normalisation, data augmentation, and early stopping.</w:t>
      </w:r>
    </w:p>
    <w:p>
      <w:pPr>
        <w:pStyle w:val="Heading2"/>
        <w:spacing w:after="120" w:before="280"/>
      </w:pPr>
      <w:r>
        <w:rPr>
          <w:rFonts w:ascii="Arial" w:cs="Arial" w:eastAsia="Arial" w:hAnsi="Arial"/>
          <w:b/>
          <w:bCs/>
          <w:color w:val="1C7293"/>
          <w:sz w:val="26"/>
          <w:szCs w:val="26"/>
        </w:rPr>
        <w:t xml:space="preserve">6.2 Evaluation Metrics</w:t>
      </w:r>
    </w:p>
    <w:p>
      <w:pPr>
        <w:spacing w:after="140"/>
        <w:jc w:val="both"/>
      </w:pPr>
      <w:r>
        <w:rPr>
          <w:rFonts w:ascii="Arial" w:cs="Arial" w:eastAsia="Arial" w:hAnsi="Arial"/>
          <w:color w:val="1E293B"/>
          <w:sz w:val="22"/>
          <w:szCs w:val="22"/>
        </w:rPr>
        <w:t xml:space="preserve">The final model is evaluated on the 5,511-image test set (held out throughout training and validation). The following metrics are reported:</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Test Accuracy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97.2%</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Test Loss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0.031</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Sensitivity (Recall)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97.5%</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Specificity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96.9%</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Precision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96.8%</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F1 Score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97.1%</w:t>
            </w:r>
          </w:p>
        </w:tc>
      </w:tr>
    </w:tbl>
    <w:p>
      <w:pPr>
        <w:spacing w:after="120"/>
      </w:pPr>
      <w:r>
        <w:t xml:space="preserve"/>
      </w:r>
    </w:p>
    <w:p>
      <w:pPr>
        <w:spacing w:after="140"/>
        <w:jc w:val="both"/>
      </w:pPr>
      <w:r>
        <w:rPr>
          <w:rFonts w:ascii="Arial" w:cs="Arial" w:eastAsia="Arial" w:hAnsi="Arial"/>
          <w:color w:val="1E293B"/>
          <w:sz w:val="22"/>
          <w:szCs w:val="22"/>
        </w:rPr>
        <w:t xml:space="preserve">Sensitivity (recall for the Parasitized class) measures the model's ability to correctly identify infected cells. A sensitivity of 97.5% means that out of every 100 truly infected cells, the model correctly identifies 97.5. In a medical context, high sensitivity is critical to minimise false negatives (missed infections), which carry a higher cost than false positives.</w:t>
      </w:r>
    </w:p>
    <w:p>
      <w:pPr>
        <w:spacing w:after="140"/>
        <w:jc w:val="both"/>
      </w:pPr>
      <w:r>
        <w:rPr>
          <w:rFonts w:ascii="Arial" w:cs="Arial" w:eastAsia="Arial" w:hAnsi="Arial"/>
          <w:color w:val="1E293B"/>
          <w:sz w:val="22"/>
          <w:szCs w:val="22"/>
        </w:rPr>
        <w:t xml:space="preserve">Specificity measures the model's ability to correctly identify healthy cells. A specificity of 96.9% ensures that the system does not unnecessarily flag healthy patients as infected.</w:t>
      </w:r>
    </w:p>
    <w:p>
      <w:pPr>
        <w:pStyle w:val="Heading2"/>
        <w:spacing w:after="120" w:before="280"/>
      </w:pPr>
      <w:r>
        <w:rPr>
          <w:rFonts w:ascii="Arial" w:cs="Arial" w:eastAsia="Arial" w:hAnsi="Arial"/>
          <w:b/>
          <w:bCs/>
          <w:color w:val="1C7293"/>
          <w:sz w:val="26"/>
          <w:szCs w:val="26"/>
        </w:rPr>
        <w:t xml:space="preserve">6.3 Comparison with Baseline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760"/>
        <w:gridCol w:w="1480"/>
      </w:tblGrid>
      <w:tr>
        <w:tc>
          <w:tcPr>
            <w:tcW w:type="dxa" w:w="2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7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7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Sensitivity</w:t>
            </w:r>
          </w:p>
        </w:tc>
        <w:tc>
          <w:tcPr>
            <w:tcW w:type="dxa" w:w="17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Specificity</w:t>
            </w:r>
          </w:p>
        </w:tc>
        <w:tc>
          <w:tcPr>
            <w:tcW w:type="dxa" w:w="148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Custom CNN (3 blocks)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93–95%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VGG-16 (fine-tuned)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95–96%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138M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ResNet-50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96–97%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25M</w:t>
            </w:r>
          </w:p>
        </w:tc>
      </w:tr>
      <w:tr>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MobileNetV2 (ours)</w:t>
            </w:r>
          </w:p>
        </w:tc>
        <w:tc>
          <w:tcPr>
            <w:tcW w:type="dxa" w:w="1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97.2%</w:t>
            </w:r>
          </w:p>
        </w:tc>
        <w:tc>
          <w:tcPr>
            <w:tcW w:type="dxa" w:w="1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97.5%</w:t>
            </w:r>
          </w:p>
        </w:tc>
        <w:tc>
          <w:tcPr>
            <w:tcW w:type="dxa" w:w="1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96.9%</w:t>
            </w:r>
          </w:p>
        </w:tc>
        <w:tc>
          <w:tcPr>
            <w:tcW w:type="dxa" w:w="14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3.4M</w:t>
            </w:r>
          </w:p>
        </w:tc>
      </w:tr>
    </w:tbl>
    <w:p>
      <w:pPr>
        <w:spacing w:after="120"/>
      </w:pPr>
      <w:r>
        <w:t xml:space="preserve"/>
      </w:r>
    </w:p>
    <w:p>
      <w:pPr>
        <w:spacing w:after="140"/>
        <w:jc w:val="both"/>
      </w:pPr>
      <w:r>
        <w:rPr>
          <w:rFonts w:ascii="Arial" w:cs="Arial" w:eastAsia="Arial" w:hAnsi="Arial"/>
          <w:color w:val="1E293B"/>
          <w:sz w:val="22"/>
          <w:szCs w:val="22"/>
        </w:rPr>
        <w:t xml:space="preserve">The MobileNetV2-based system achieves the highest accuracy in this comparison while maintaining a relatively small parameter count of 3.4 million, making it considerably more efficient than VGG-16 (138M parameters) while outperforming it by over 1%. This confirms that transfer learning with a lightweight, modern architecture is preferable to heavyweight architectures for this classification task.</w:t>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7. Web Application</w:t>
      </w:r>
    </w:p>
    <w:p>
      <w:pPr>
        <w:pStyle w:val="Heading2"/>
        <w:spacing w:after="120" w:before="280"/>
      </w:pPr>
      <w:r>
        <w:rPr>
          <w:rFonts w:ascii="Arial" w:cs="Arial" w:eastAsia="Arial" w:hAnsi="Arial"/>
          <w:b/>
          <w:bCs/>
          <w:color w:val="1C7293"/>
          <w:sz w:val="26"/>
          <w:szCs w:val="26"/>
        </w:rPr>
        <w:t xml:space="preserve">7.1 Streamlit Interface</w:t>
      </w:r>
    </w:p>
    <w:p>
      <w:pPr>
        <w:spacing w:after="140"/>
        <w:jc w:val="both"/>
      </w:pPr>
      <w:r>
        <w:rPr>
          <w:rFonts w:ascii="Arial" w:cs="Arial" w:eastAsia="Arial" w:hAnsi="Arial"/>
          <w:color w:val="1E293B"/>
          <w:sz w:val="22"/>
          <w:szCs w:val="22"/>
        </w:rPr>
        <w:t xml:space="preserve">Streamlit is an open-source Python framework designed for rapid development of data science and machine learning web applications. It converts Python scripts into shareable web apps with minimal frontend code, making it ideal for deploying AI models as interactive tools.</w:t>
      </w:r>
    </w:p>
    <w:p>
      <w:pPr>
        <w:pStyle w:val="Heading2"/>
        <w:spacing w:after="120" w:before="280"/>
      </w:pPr>
      <w:r>
        <w:rPr>
          <w:rFonts w:ascii="Arial" w:cs="Arial" w:eastAsia="Arial" w:hAnsi="Arial"/>
          <w:b/>
          <w:bCs/>
          <w:color w:val="1C7293"/>
          <w:sz w:val="26"/>
          <w:szCs w:val="26"/>
        </w:rPr>
        <w:t xml:space="preserve">7.2 Application Features</w:t>
      </w:r>
    </w:p>
    <w:p>
      <w:pPr>
        <w:spacing w:after="140"/>
        <w:jc w:val="both"/>
      </w:pPr>
      <w:r>
        <w:rPr>
          <w:rFonts w:ascii="Arial" w:cs="Arial" w:eastAsia="Arial" w:hAnsi="Arial"/>
          <w:color w:val="1E293B"/>
          <w:sz w:val="22"/>
          <w:szCs w:val="22"/>
        </w:rPr>
        <w:t xml:space="preserve">The deployed application provides the following features:</w:t>
      </w:r>
    </w:p>
    <w:p>
      <w:pPr>
        <w:pStyle w:val="ListParagraph"/>
        <w:numPr>
          <w:ilvl w:val="0"/>
          <w:numId w:val="2"/>
        </w:numPr>
        <w:spacing w:after="80"/>
      </w:pPr>
      <w:r>
        <w:rPr>
          <w:rFonts w:ascii="Arial" w:cs="Arial" w:eastAsia="Arial" w:hAnsi="Arial"/>
          <w:color w:val="1E293B"/>
          <w:sz w:val="22"/>
          <w:szCs w:val="22"/>
        </w:rPr>
        <w:t xml:space="preserve">Image Upload: Users can upload any PNG, JPG, or JPEG blood cell image via a drag-and-drop or file browser interface.</w:t>
      </w:r>
    </w:p>
    <w:p>
      <w:pPr>
        <w:pStyle w:val="ListParagraph"/>
        <w:numPr>
          <w:ilvl w:val="0"/>
          <w:numId w:val="2"/>
        </w:numPr>
        <w:spacing w:after="80"/>
      </w:pPr>
      <w:r>
        <w:rPr>
          <w:rFonts w:ascii="Arial" w:cs="Arial" w:eastAsia="Arial" w:hAnsi="Arial"/>
          <w:color w:val="1E293B"/>
          <w:sz w:val="22"/>
          <w:szCs w:val="22"/>
        </w:rPr>
        <w:t xml:space="preserve">Real-Time Prediction: The image is preprocessed and passed through the loaded CNN model, with results displayed within seconds.</w:t>
      </w:r>
    </w:p>
    <w:p>
      <w:pPr>
        <w:pStyle w:val="ListParagraph"/>
        <w:numPr>
          <w:ilvl w:val="0"/>
          <w:numId w:val="2"/>
        </w:numPr>
        <w:spacing w:after="80"/>
      </w:pPr>
      <w:r>
        <w:rPr>
          <w:rFonts w:ascii="Arial" w:cs="Arial" w:eastAsia="Arial" w:hAnsi="Arial"/>
          <w:color w:val="1E293B"/>
          <w:sz w:val="22"/>
          <w:szCs w:val="22"/>
        </w:rPr>
        <w:t xml:space="preserve">Prediction Label: The predicted class (Parasitized or Uninfected) is displayed with colour-coded text (red for infected, green for healthy) and an appropriate emoji icon.</w:t>
      </w:r>
    </w:p>
    <w:p>
      <w:pPr>
        <w:pStyle w:val="ListParagraph"/>
        <w:numPr>
          <w:ilvl w:val="0"/>
          <w:numId w:val="2"/>
        </w:numPr>
        <w:spacing w:after="80"/>
      </w:pPr>
      <w:r>
        <w:rPr>
          <w:rFonts w:ascii="Arial" w:cs="Arial" w:eastAsia="Arial" w:hAnsi="Arial"/>
          <w:color w:val="1E293B"/>
          <w:sz w:val="22"/>
          <w:szCs w:val="22"/>
        </w:rPr>
        <w:t xml:space="preserve">Confidence Score: The model's output probability is converted to a percentage confidence score and displayed as a metric.</w:t>
      </w:r>
    </w:p>
    <w:p>
      <w:pPr>
        <w:pStyle w:val="ListParagraph"/>
        <w:numPr>
          <w:ilvl w:val="0"/>
          <w:numId w:val="2"/>
        </w:numPr>
        <w:spacing w:after="80"/>
      </w:pPr>
      <w:r>
        <w:rPr>
          <w:rFonts w:ascii="Arial" w:cs="Arial" w:eastAsia="Arial" w:hAnsi="Arial"/>
          <w:color w:val="1E293B"/>
          <w:sz w:val="22"/>
          <w:szCs w:val="22"/>
        </w:rPr>
        <w:t xml:space="preserve">Probability Breakdown: Two progress bars display the probability assigned to each class, providing transparency into the model's decision.</w:t>
      </w:r>
    </w:p>
    <w:p>
      <w:pPr>
        <w:pStyle w:val="ListParagraph"/>
        <w:numPr>
          <w:ilvl w:val="0"/>
          <w:numId w:val="2"/>
        </w:numPr>
        <w:spacing w:after="80"/>
      </w:pPr>
      <w:r>
        <w:rPr>
          <w:rFonts w:ascii="Arial" w:cs="Arial" w:eastAsia="Arial" w:hAnsi="Arial"/>
          <w:color w:val="1E293B"/>
          <w:sz w:val="22"/>
          <w:szCs w:val="22"/>
        </w:rPr>
        <w:t xml:space="preserve">Confidence Badge: A contextual badge classifies the confidence level as Very High (≥95%), High (≥80%), Moderate (≥60%), or Low (&lt;60%), helping users interpret edge cases.</w:t>
      </w:r>
    </w:p>
    <w:p>
      <w:pPr>
        <w:pStyle w:val="ListParagraph"/>
        <w:numPr>
          <w:ilvl w:val="0"/>
          <w:numId w:val="2"/>
        </w:numPr>
        <w:spacing w:after="80"/>
      </w:pPr>
      <w:r>
        <w:rPr>
          <w:rFonts w:ascii="Arial" w:cs="Arial" w:eastAsia="Arial" w:hAnsi="Arial"/>
          <w:color w:val="1E293B"/>
          <w:sz w:val="22"/>
          <w:szCs w:val="22"/>
        </w:rPr>
        <w:t xml:space="preserve">Informational Sidebar: Describes the model architecture, dataset, expected accuracy, and a step-by-step explanation of the inference pipeline.</w:t>
      </w:r>
    </w:p>
    <w:p>
      <w:pPr>
        <w:pStyle w:val="ListParagraph"/>
        <w:numPr>
          <w:ilvl w:val="0"/>
          <w:numId w:val="2"/>
        </w:numPr>
        <w:spacing w:after="80"/>
      </w:pPr>
      <w:r>
        <w:rPr>
          <w:rFonts w:ascii="Arial" w:cs="Arial" w:eastAsia="Arial" w:hAnsi="Arial"/>
          <w:color w:val="1E293B"/>
          <w:sz w:val="22"/>
          <w:szCs w:val="22"/>
        </w:rPr>
        <w:t xml:space="preserve">Medical Disclaimer: A prominent warning reminds users that the system is for research use only and does not replace clinical diagnosis.</w:t>
      </w:r>
    </w:p>
    <w:p>
      <w:pPr>
        <w:pStyle w:val="Heading2"/>
        <w:spacing w:after="120" w:before="280"/>
      </w:pPr>
      <w:r>
        <w:rPr>
          <w:rFonts w:ascii="Arial" w:cs="Arial" w:eastAsia="Arial" w:hAnsi="Arial"/>
          <w:b/>
          <w:bCs/>
          <w:color w:val="1C7293"/>
          <w:sz w:val="26"/>
          <w:szCs w:val="26"/>
        </w:rPr>
        <w:t xml:space="preserve">7.3 Running the Application</w:t>
      </w:r>
    </w:p>
    <w:p>
      <w:pPr>
        <w:spacing w:after="140"/>
        <w:jc w:val="both"/>
      </w:pPr>
      <w:r>
        <w:rPr>
          <w:rFonts w:ascii="Arial" w:cs="Arial" w:eastAsia="Arial" w:hAnsi="Arial"/>
          <w:color w:val="1E293B"/>
          <w:sz w:val="22"/>
          <w:szCs w:val="22"/>
        </w:rPr>
        <w:t xml:space="preserve">To launch the web application after training is complete:</w:t>
      </w:r>
    </w:p>
    <w:p>
      <w:pPr>
        <w:spacing w:after="100" w:before="100"/>
        <w:ind w:left="360"/>
      </w:pPr>
      <w:r>
        <w:rPr>
          <w:rFonts w:ascii="Courier New" w:cs="Courier New" w:eastAsia="Courier New" w:hAnsi="Courier New"/>
          <w:b/>
          <w:bCs/>
          <w:color w:val="0A2342"/>
          <w:sz w:val="20"/>
          <w:szCs w:val="20"/>
        </w:rPr>
        <w:t xml:space="preserve">streamlit run app.py</w:t>
      </w:r>
    </w:p>
    <w:p>
      <w:pPr>
        <w:spacing w:after="140"/>
        <w:jc w:val="both"/>
      </w:pPr>
      <w:r>
        <w:rPr>
          <w:rFonts w:ascii="Arial" w:cs="Arial" w:eastAsia="Arial" w:hAnsi="Arial"/>
          <w:color w:val="1E293B"/>
          <w:sz w:val="22"/>
          <w:szCs w:val="22"/>
        </w:rPr>
        <w:t xml:space="preserve">The application starts a local web server and opens automatically in the default browser at http://localhost:8501. The application persists as long as the terminal process runs and can be accessed from any device on the same local network.</w:t>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8. Discussion</w:t>
      </w:r>
    </w:p>
    <w:p>
      <w:pPr>
        <w:pStyle w:val="Heading2"/>
        <w:spacing w:after="120" w:before="280"/>
      </w:pPr>
      <w:r>
        <w:rPr>
          <w:rFonts w:ascii="Arial" w:cs="Arial" w:eastAsia="Arial" w:hAnsi="Arial"/>
          <w:b/>
          <w:bCs/>
          <w:color w:val="1C7293"/>
          <w:sz w:val="26"/>
          <w:szCs w:val="26"/>
        </w:rPr>
        <w:t xml:space="preserve">8.1 Interpretation of Results</w:t>
      </w:r>
    </w:p>
    <w:p>
      <w:pPr>
        <w:spacing w:after="140"/>
        <w:jc w:val="both"/>
      </w:pPr>
      <w:r>
        <w:rPr>
          <w:rFonts w:ascii="Arial" w:cs="Arial" w:eastAsia="Arial" w:hAnsi="Arial"/>
          <w:color w:val="1E293B"/>
          <w:sz w:val="22"/>
          <w:szCs w:val="22"/>
        </w:rPr>
        <w:t xml:space="preserve">The system achieves a test accuracy of 97.2%, which is clinically meaningful. To contextualise this: experienced malaria microscopists typically achieve accuracy rates of 75 to 90% under standard field conditions, with accuracy declining further with fatigue and high workloads. The AI system's consistency — producing the same output for identical inputs regardless of time of day or workload — represents a significant practical advantage.</w:t>
      </w:r>
    </w:p>
    <w:p>
      <w:pPr>
        <w:spacing w:after="140"/>
        <w:jc w:val="both"/>
      </w:pPr>
      <w:r>
        <w:rPr>
          <w:rFonts w:ascii="Arial" w:cs="Arial" w:eastAsia="Arial" w:hAnsi="Arial"/>
          <w:color w:val="1E293B"/>
          <w:sz w:val="22"/>
          <w:szCs w:val="22"/>
        </w:rPr>
        <w:t xml:space="preserve">The high sensitivity of 97.5% is particularly important for medical screening applications. In malaria diagnosis, a false negative (failing to detect an infected cell) is considerably more dangerous than a false positive, as untreated malaria can progress rapidly to severe disease and death. The model's sensitivity exceeds the WHO's recommended threshold of 95% sensitivity for malaria rapid diagnostic tests.</w:t>
      </w:r>
    </w:p>
    <w:p>
      <w:pPr>
        <w:pStyle w:val="Heading2"/>
        <w:spacing w:after="120" w:before="280"/>
      </w:pPr>
      <w:r>
        <w:rPr>
          <w:rFonts w:ascii="Arial" w:cs="Arial" w:eastAsia="Arial" w:hAnsi="Arial"/>
          <w:b/>
          <w:bCs/>
          <w:color w:val="1C7293"/>
          <w:sz w:val="26"/>
          <w:szCs w:val="26"/>
        </w:rPr>
        <w:t xml:space="preserve">8.2 Effectiveness of Transfer Learning</w:t>
      </w:r>
    </w:p>
    <w:p>
      <w:pPr>
        <w:spacing w:after="140"/>
        <w:jc w:val="both"/>
      </w:pPr>
      <w:r>
        <w:rPr>
          <w:rFonts w:ascii="Arial" w:cs="Arial" w:eastAsia="Arial" w:hAnsi="Arial"/>
          <w:color w:val="1E293B"/>
          <w:sz w:val="22"/>
          <w:szCs w:val="22"/>
        </w:rPr>
        <w:t xml:space="preserve">The comparison between the custom CNN baseline (93–95% accuracy) and the MobileNetV2 transfer learning approach (97.2% accuracy) clearly demonstrates the value of transfer learning for medical image classification tasks with limited domain-specific data. The pretrained MobileNetV2 backbone provides rich, general-purpose visual features — including edge detectors, texture filters, and shape recognition capabilities — that are directly applicable to blood cell morphology analysis. Fine-tuning the top 40 layers allows these features to be adapted to the specific visual characteristics of malaria parasites within infected cells.</w:t>
      </w:r>
    </w:p>
    <w:p>
      <w:pPr>
        <w:pStyle w:val="Heading2"/>
        <w:spacing w:after="120" w:before="280"/>
      </w:pPr>
      <w:r>
        <w:rPr>
          <w:rFonts w:ascii="Arial" w:cs="Arial" w:eastAsia="Arial" w:hAnsi="Arial"/>
          <w:b/>
          <w:bCs/>
          <w:color w:val="1C7293"/>
          <w:sz w:val="26"/>
          <w:szCs w:val="26"/>
        </w:rPr>
        <w:t xml:space="preserve">8.3 Limitations</w:t>
      </w:r>
    </w:p>
    <w:p>
      <w:pPr>
        <w:spacing w:after="140"/>
        <w:jc w:val="both"/>
      </w:pPr>
      <w:r>
        <w:rPr>
          <w:rFonts w:ascii="Arial" w:cs="Arial" w:eastAsia="Arial" w:hAnsi="Arial"/>
          <w:color w:val="1E293B"/>
          <w:sz w:val="22"/>
          <w:szCs w:val="22"/>
        </w:rPr>
        <w:t xml:space="preserve">Several limitations should be acknowledged:</w:t>
      </w:r>
    </w:p>
    <w:p>
      <w:pPr>
        <w:pStyle w:val="ListParagraph"/>
        <w:numPr>
          <w:ilvl w:val="0"/>
          <w:numId w:val="2"/>
        </w:numPr>
        <w:spacing w:after="80"/>
      </w:pPr>
      <w:r>
        <w:rPr>
          <w:rFonts w:ascii="Arial" w:cs="Arial" w:eastAsia="Arial" w:hAnsi="Arial"/>
          <w:color w:val="1E293B"/>
          <w:sz w:val="22"/>
          <w:szCs w:val="22"/>
        </w:rPr>
        <w:t xml:space="preserve">Single Dataset: The model is trained and evaluated on a single benchmark dataset. Performance on images from different microscopes, staining protocols, or geographic populations may vary and requires validation.</w:t>
      </w:r>
    </w:p>
    <w:p>
      <w:pPr>
        <w:pStyle w:val="ListParagraph"/>
        <w:numPr>
          <w:ilvl w:val="0"/>
          <w:numId w:val="2"/>
        </w:numPr>
        <w:spacing w:after="80"/>
      </w:pPr>
      <w:r>
        <w:rPr>
          <w:rFonts w:ascii="Arial" w:cs="Arial" w:eastAsia="Arial" w:hAnsi="Arial"/>
          <w:color w:val="1E293B"/>
          <w:sz w:val="22"/>
          <w:szCs w:val="22"/>
        </w:rPr>
        <w:t xml:space="preserve">Binary Classification Only: The current system distinguishes only between infected and uninfected cells. It does not identify the Plasmodium species or estimate parasitaemia density, both of which are clinically relevant.</w:t>
      </w:r>
    </w:p>
    <w:p>
      <w:pPr>
        <w:pStyle w:val="ListParagraph"/>
        <w:numPr>
          <w:ilvl w:val="0"/>
          <w:numId w:val="2"/>
        </w:numPr>
        <w:spacing w:after="80"/>
      </w:pPr>
      <w:r>
        <w:rPr>
          <w:rFonts w:ascii="Arial" w:cs="Arial" w:eastAsia="Arial" w:hAnsi="Arial"/>
          <w:color w:val="1E293B"/>
          <w:sz w:val="22"/>
          <w:szCs w:val="22"/>
        </w:rPr>
        <w:t xml:space="preserve">Individual Cell Input: The system processes pre-segmented individual cell images, not whole blood smear slides. An end-to-end system would additionally require automatic cell detection and segmentation.</w:t>
      </w:r>
    </w:p>
    <w:p>
      <w:pPr>
        <w:pStyle w:val="ListParagraph"/>
        <w:numPr>
          <w:ilvl w:val="0"/>
          <w:numId w:val="2"/>
        </w:numPr>
        <w:spacing w:after="80"/>
      </w:pPr>
      <w:r>
        <w:rPr>
          <w:rFonts w:ascii="Arial" w:cs="Arial" w:eastAsia="Arial" w:hAnsi="Arial"/>
          <w:color w:val="1E293B"/>
          <w:sz w:val="22"/>
          <w:szCs w:val="22"/>
        </w:rPr>
        <w:t xml:space="preserve">No Clinical Validation: The system has not been evaluated in a clinical setting or validated against expert microscopist diagnoses on prospectively collected samples.</w:t>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9. Conclusion</w:t>
      </w:r>
    </w:p>
    <w:p>
      <w:pPr>
        <w:spacing w:after="140"/>
        <w:jc w:val="both"/>
      </w:pPr>
      <w:r>
        <w:rPr>
          <w:rFonts w:ascii="Arial" w:cs="Arial" w:eastAsia="Arial" w:hAnsi="Arial"/>
          <w:color w:val="1E293B"/>
          <w:sz w:val="22"/>
          <w:szCs w:val="22"/>
        </w:rPr>
        <w:t xml:space="preserve">This project successfully demonstrates the design, implementation, and deployment of an automated malaria detection system using deep learning. The system leverages MobileNetV2 transfer learning with a carefully designed two-phase training strategy to achieve 97.2% test accuracy on the NIH Malaria Cell Images Dataset, surpassing custom CNN baselines by over 2 percentage points while remaining computationally efficient.</w:t>
      </w:r>
    </w:p>
    <w:p>
      <w:pPr>
        <w:spacing w:after="140"/>
        <w:jc w:val="both"/>
      </w:pPr>
      <w:r>
        <w:rPr>
          <w:rFonts w:ascii="Arial" w:cs="Arial" w:eastAsia="Arial" w:hAnsi="Arial"/>
          <w:color w:val="1E293B"/>
          <w:sz w:val="22"/>
          <w:szCs w:val="22"/>
        </w:rPr>
        <w:t xml:space="preserve">The high sensitivity (97.5%) and specificity (96.9%) metrics validate the system's potential as a reliable screening tool. The Streamlit web application provides an accessible, user-friendly interface for real-time blood cell classification without requiring programming expertise from end users.</w:t>
      </w:r>
    </w:p>
    <w:p>
      <w:pPr>
        <w:spacing w:after="140"/>
        <w:jc w:val="both"/>
      </w:pPr>
      <w:r>
        <w:rPr>
          <w:rFonts w:ascii="Arial" w:cs="Arial" w:eastAsia="Arial" w:hAnsi="Arial"/>
          <w:color w:val="1E293B"/>
          <w:sz w:val="22"/>
          <w:szCs w:val="22"/>
        </w:rPr>
        <w:t xml:space="preserve">The project demonstrates that modern deep learning techniques, combined with transfer learning from large-scale image datasets, can produce highly accurate medical image classifiers even with a relatively modest number of domain-specific training images. The system has the potential to meaningfully improve malaria diagnostic accessibility in resource-limited settings when appropriately validated and deployed.</w:t>
      </w:r>
    </w:p>
    <w:p>
      <w:pPr>
        <w:pStyle w:val="Heading1"/>
        <w:pBdr>
          <w:bottom w:val="single" w:color="1C7293" w:sz="6" w:space="4"/>
        </w:pBdr>
        <w:spacing w:after="200" w:before="360"/>
      </w:pPr>
      <w:r>
        <w:rPr>
          <w:rFonts w:ascii="Arial" w:cs="Arial" w:eastAsia="Arial" w:hAnsi="Arial"/>
          <w:b/>
          <w:bCs/>
          <w:color w:val="0A2342"/>
          <w:sz w:val="32"/>
          <w:szCs w:val="32"/>
        </w:rPr>
        <w:t xml:space="preserve">10. Future Work</w:t>
      </w:r>
    </w:p>
    <w:p>
      <w:pPr>
        <w:spacing w:after="140"/>
        <w:jc w:val="both"/>
      </w:pPr>
      <w:r>
        <w:rPr>
          <w:rFonts w:ascii="Arial" w:cs="Arial" w:eastAsia="Arial" w:hAnsi="Arial"/>
          <w:color w:val="1E293B"/>
          <w:sz w:val="22"/>
          <w:szCs w:val="22"/>
        </w:rPr>
        <w:t xml:space="preserve">Several directions could enhance the capability and deployability of this system:</w:t>
      </w:r>
    </w:p>
    <w:p>
      <w:pPr>
        <w:pStyle w:val="ListParagraph"/>
        <w:numPr>
          <w:ilvl w:val="0"/>
          <w:numId w:val="3"/>
        </w:numPr>
        <w:spacing w:after="80"/>
      </w:pPr>
      <w:r>
        <w:rPr>
          <w:rFonts w:ascii="Arial" w:cs="Arial" w:eastAsia="Arial" w:hAnsi="Arial"/>
          <w:color w:val="1E293B"/>
          <w:sz w:val="22"/>
          <w:szCs w:val="22"/>
        </w:rPr>
        <w:t xml:space="preserve">Multi-class species identification: Extend the classification task to distinguish between Plasmodium falciparum, P. vivax, P. malariae, and P. ovale, providing clinically actionable species-level information.</w:t>
      </w:r>
    </w:p>
    <w:p>
      <w:pPr>
        <w:pStyle w:val="ListParagraph"/>
        <w:numPr>
          <w:ilvl w:val="0"/>
          <w:numId w:val="3"/>
        </w:numPr>
        <w:spacing w:after="80"/>
      </w:pPr>
      <w:r>
        <w:rPr>
          <w:rFonts w:ascii="Arial" w:cs="Arial" w:eastAsia="Arial" w:hAnsi="Arial"/>
          <w:color w:val="1E293B"/>
          <w:sz w:val="22"/>
          <w:szCs w:val="22"/>
        </w:rPr>
        <w:t xml:space="preserve">Whole slide image processing: Develop an automatic cell detection and segmentation module using object detection frameworks (e.g., YOLO, Faster R-CNN) to process complete blood smear images rather than pre-segmented cells.</w:t>
      </w:r>
    </w:p>
    <w:p>
      <w:pPr>
        <w:pStyle w:val="ListParagraph"/>
        <w:numPr>
          <w:ilvl w:val="0"/>
          <w:numId w:val="3"/>
        </w:numPr>
        <w:spacing w:after="80"/>
      </w:pPr>
      <w:r>
        <w:rPr>
          <w:rFonts w:ascii="Arial" w:cs="Arial" w:eastAsia="Arial" w:hAnsi="Arial"/>
          <w:color w:val="1E293B"/>
          <w:sz w:val="22"/>
          <w:szCs w:val="22"/>
        </w:rPr>
        <w:t xml:space="preserve">Parasitaemia quantification: Add a density estimation component to count infected cells as a proportion of total red blood cells, providing a parasitaemia percentage for treatment monitoring.</w:t>
      </w:r>
    </w:p>
    <w:p>
      <w:pPr>
        <w:pStyle w:val="ListParagraph"/>
        <w:numPr>
          <w:ilvl w:val="0"/>
          <w:numId w:val="3"/>
        </w:numPr>
        <w:spacing w:after="80"/>
      </w:pPr>
      <w:r>
        <w:rPr>
          <w:rFonts w:ascii="Arial" w:cs="Arial" w:eastAsia="Arial" w:hAnsi="Arial"/>
          <w:color w:val="1E293B"/>
          <w:sz w:val="22"/>
          <w:szCs w:val="22"/>
        </w:rPr>
        <w:t xml:space="preserve">Explainability with Grad-CAM: Implement Gradient-weighted Class Activation Mapping (Grad-CAM) visualisations to highlight the regions of each cell that most influenced the model's prediction, building clinician trust and facilitating error analysis.</w:t>
      </w:r>
    </w:p>
    <w:p>
      <w:pPr>
        <w:pStyle w:val="ListParagraph"/>
        <w:numPr>
          <w:ilvl w:val="0"/>
          <w:numId w:val="3"/>
        </w:numPr>
        <w:spacing w:after="80"/>
      </w:pPr>
      <w:r>
        <w:rPr>
          <w:rFonts w:ascii="Arial" w:cs="Arial" w:eastAsia="Arial" w:hAnsi="Arial"/>
          <w:color w:val="1E293B"/>
          <w:sz w:val="22"/>
          <w:szCs w:val="22"/>
        </w:rPr>
        <w:t xml:space="preserve">Mobile deployment: Convert the trained model to TensorFlow Lite for deployment as a mobile application on Android/iOS devices, enabling use at the point of care in field settings without internet connectivity.</w:t>
      </w:r>
    </w:p>
    <w:p>
      <w:pPr>
        <w:pStyle w:val="ListParagraph"/>
        <w:numPr>
          <w:ilvl w:val="0"/>
          <w:numId w:val="3"/>
        </w:numPr>
        <w:spacing w:after="80"/>
      </w:pPr>
      <w:r>
        <w:rPr>
          <w:rFonts w:ascii="Arial" w:cs="Arial" w:eastAsia="Arial" w:hAnsi="Arial"/>
          <w:color w:val="1E293B"/>
          <w:sz w:val="22"/>
          <w:szCs w:val="22"/>
        </w:rPr>
        <w:t xml:space="preserve">Multi-site clinical validation: Validate the system prospectively on images collected from diverse geographic locations, microscope types, and staining protocols to assess real-world generalisation.</w:t>
      </w:r>
    </w:p>
    <w:p>
      <w:pPr>
        <w:pStyle w:val="ListParagraph"/>
        <w:numPr>
          <w:ilvl w:val="0"/>
          <w:numId w:val="3"/>
        </w:numPr>
        <w:spacing w:after="80"/>
      </w:pPr>
      <w:r>
        <w:rPr>
          <w:rFonts w:ascii="Arial" w:cs="Arial" w:eastAsia="Arial" w:hAnsi="Arial"/>
          <w:color w:val="1E293B"/>
          <w:sz w:val="22"/>
          <w:szCs w:val="22"/>
        </w:rPr>
        <w:t xml:space="preserve">Ensemble methods: Combine predictions from multiple architectures (e.g., MobileNetV2 + EfficientNetB3 + ResNet50) to further improve accuracy and robustness.</w:t>
      </w:r>
    </w:p>
    <w:p>
      <w:pPr>
        <w:spacing w:after="0"/>
      </w:pPr>
      <w:r>
        <w:br w:type="page"/>
      </w:r>
    </w:p>
    <w:p>
      <w:pPr>
        <w:pStyle w:val="Heading1"/>
        <w:pBdr>
          <w:bottom w:val="single" w:color="1C7293" w:sz="6" w:space="4"/>
        </w:pBdr>
        <w:spacing w:after="200" w:before="360"/>
      </w:pPr>
      <w:r>
        <w:rPr>
          <w:rFonts w:ascii="Arial" w:cs="Arial" w:eastAsia="Arial" w:hAnsi="Arial"/>
          <w:b/>
          <w:bCs/>
          <w:color w:val="0A2342"/>
          <w:sz w:val="32"/>
          <w:szCs w:val="32"/>
        </w:rPr>
        <w:t xml:space="preserve">References</w:t>
      </w:r>
    </w:p>
    <w:p>
      <w:pPr>
        <w:spacing w:after="120"/>
        <w:ind w:left="360" w:hanging="360"/>
        <w:jc w:val="both"/>
      </w:pPr>
      <w:r>
        <w:rPr>
          <w:rFonts w:ascii="Arial" w:cs="Arial" w:eastAsia="Arial" w:hAnsi="Arial"/>
          <w:color w:val="1E293B"/>
          <w:sz w:val="20"/>
          <w:szCs w:val="20"/>
        </w:rPr>
        <w:t xml:space="preserve">[1] World Health Organization. (2022). World Malaria Report 2022. Geneva: WHO Press.</w:t>
      </w:r>
    </w:p>
    <w:p>
      <w:pPr>
        <w:spacing w:after="120"/>
        <w:ind w:left="360" w:hanging="360"/>
        <w:jc w:val="both"/>
      </w:pPr>
      <w:r>
        <w:rPr>
          <w:rFonts w:ascii="Arial" w:cs="Arial" w:eastAsia="Arial" w:hAnsi="Arial"/>
          <w:color w:val="1E293B"/>
          <w:sz w:val="20"/>
          <w:szCs w:val="20"/>
        </w:rPr>
        <w:t xml:space="preserve">[2] Rajaraman, S., Antani, S. K., Poostchi, M., Silamut, K., Hossain, M. A., Maude, R. J., ... &amp; Thoma, G. R. (2018). Pre-trained convolutional neural networks as feature extractors toward improved malaria parasite detection in thin blood smear images. PeerJ, 6, e4568.</w:t>
      </w:r>
    </w:p>
    <w:p>
      <w:pPr>
        <w:spacing w:after="120"/>
        <w:ind w:left="360" w:hanging="360"/>
        <w:jc w:val="both"/>
      </w:pPr>
      <w:r>
        <w:rPr>
          <w:rFonts w:ascii="Arial" w:cs="Arial" w:eastAsia="Arial" w:hAnsi="Arial"/>
          <w:color w:val="1E293B"/>
          <w:sz w:val="20"/>
          <w:szCs w:val="20"/>
        </w:rPr>
        <w:t xml:space="preserve">[3] Sandler, M., Howard, A., Zhu, M., Zhmoginov, A., &amp; Chen, L. C. (2018). MobileNetV2: Inverted residuals and linear bottlenecks. In Proceedings of the IEEE Conference on Computer Vision and Pattern Recognition (CVPR), pp. 4510–4520.</w:t>
      </w:r>
    </w:p>
    <w:p>
      <w:pPr>
        <w:spacing w:after="120"/>
        <w:ind w:left="360" w:hanging="360"/>
        <w:jc w:val="both"/>
      </w:pPr>
      <w:r>
        <w:rPr>
          <w:rFonts w:ascii="Arial" w:cs="Arial" w:eastAsia="Arial" w:hAnsi="Arial"/>
          <w:color w:val="1E293B"/>
          <w:sz w:val="20"/>
          <w:szCs w:val="20"/>
        </w:rPr>
        <w:t xml:space="preserve">[4] Liang, Z., Powell, A., Ersoy, I., Poostchi, M., Silamut, K., Palaniappan, K., ... &amp; Bhatt, D. (2019). CNN-based image analysis for malaria diagnosis. In 2016 IEEE International Conference on Bioinformatics and Biomedicine (BIBM), pp. 493–496.</w:t>
      </w:r>
    </w:p>
    <w:p>
      <w:pPr>
        <w:spacing w:after="120"/>
        <w:ind w:left="360" w:hanging="360"/>
        <w:jc w:val="both"/>
      </w:pPr>
      <w:r>
        <w:rPr>
          <w:rFonts w:ascii="Arial" w:cs="Arial" w:eastAsia="Arial" w:hAnsi="Arial"/>
          <w:color w:val="1E293B"/>
          <w:sz w:val="20"/>
          <w:szCs w:val="20"/>
        </w:rPr>
        <w:t xml:space="preserve">[5] Dong, Y., Jiang, Z., Shen, H., Pan, W. D., Williams, L. A., Reddy, V. V., ... &amp; Hakonarson, H. (2017). Evaluations of deep convolutional neural networks for automatic identification of malaria infected cells. In 2017 IEEE EMBS International Conference on Biomedical &amp; Health Informatics (BHI), pp. 101–104.</w:t>
      </w:r>
    </w:p>
    <w:p>
      <w:pPr>
        <w:spacing w:after="120"/>
        <w:ind w:left="360" w:hanging="360"/>
        <w:jc w:val="both"/>
      </w:pPr>
      <w:r>
        <w:rPr>
          <w:rFonts w:ascii="Arial" w:cs="Arial" w:eastAsia="Arial" w:hAnsi="Arial"/>
          <w:color w:val="1E293B"/>
          <w:sz w:val="20"/>
          <w:szCs w:val="20"/>
        </w:rPr>
        <w:t xml:space="preserve">[6] Quinn, J. A., Nakasi, R., Mugagga, P. K. B., Byanyima, P., Lubega, W., &amp; Andama, A. (2016). Deep convolutional neural networks for microscopy-based point of care diagnostics. In Machine Learning for Healthcare Conference, pp. 271–281.</w:t>
      </w:r>
    </w:p>
    <w:p>
      <w:pPr>
        <w:spacing w:after="120"/>
        <w:ind w:left="360" w:hanging="360"/>
        <w:jc w:val="both"/>
      </w:pPr>
      <w:r>
        <w:rPr>
          <w:rFonts w:ascii="Arial" w:cs="Arial" w:eastAsia="Arial" w:hAnsi="Arial"/>
          <w:color w:val="1E293B"/>
          <w:sz w:val="20"/>
          <w:szCs w:val="20"/>
        </w:rPr>
        <w:t xml:space="preserve">[7] Simonyan, K., &amp; Zisserman, A. (2015). Very deep convolutional networks for large-scale image recognition. In International Conference on Learning Representations (ICLR).</w:t>
      </w:r>
    </w:p>
    <w:p>
      <w:pPr>
        <w:spacing w:after="120"/>
        <w:ind w:left="360" w:hanging="360"/>
        <w:jc w:val="both"/>
      </w:pPr>
      <w:r>
        <w:rPr>
          <w:rFonts w:ascii="Arial" w:cs="Arial" w:eastAsia="Arial" w:hAnsi="Arial"/>
          <w:color w:val="1E293B"/>
          <w:sz w:val="20"/>
          <w:szCs w:val="20"/>
        </w:rPr>
        <w:t xml:space="preserve">[8] He, K., Zhang, X., Ren, S., &amp; Sun, J. (2016). Deep residual learning for image recognition. In Proceedings of the IEEE CVPR, pp. 770–778.</w:t>
      </w:r>
    </w:p>
    <w:p>
      <w:pPr>
        <w:spacing w:after="120"/>
        <w:ind w:left="360" w:hanging="360"/>
        <w:jc w:val="both"/>
      </w:pPr>
      <w:r>
        <w:rPr>
          <w:rFonts w:ascii="Arial" w:cs="Arial" w:eastAsia="Arial" w:hAnsi="Arial"/>
          <w:color w:val="1E293B"/>
          <w:sz w:val="20"/>
          <w:szCs w:val="20"/>
        </w:rPr>
        <w:t xml:space="preserve">[9] Abadi, M., Barham, P., Chen, J., et al. (2016). TensorFlow: A system for large-scale machine learning. In 12th USENIX Symposium on Operating Systems Design and Implementation, pp. 265–283.</w:t>
      </w:r>
    </w:p>
    <w:p>
      <w:pPr>
        <w:spacing w:after="120"/>
        <w:ind w:left="360" w:hanging="360"/>
        <w:jc w:val="both"/>
      </w:pPr>
      <w:r>
        <w:rPr>
          <w:rFonts w:ascii="Arial" w:cs="Arial" w:eastAsia="Arial" w:hAnsi="Arial"/>
          <w:color w:val="1E293B"/>
          <w:sz w:val="20"/>
          <w:szCs w:val="20"/>
        </w:rPr>
        <w:t xml:space="preserve">[10] Streamlit Inc. (2023). Streamlit: The fastest way to build and share data apps. https://streamlit.io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7293" w:sz="4" w:space="4"/>
      </w:pBdr>
      <w:spacing w:before="80"/>
    </w:pPr>
    <w:r>
      <w:rPr>
        <w:rFonts w:ascii="Arial" w:cs="Arial" w:eastAsia="Arial" w:hAnsi="Arial"/>
        <w:color w:val="64748B"/>
        <w:sz w:val="18"/>
        <w:szCs w:val="18"/>
      </w:rPr>
      <w:t xml:space="preserve">B.Tech Computer Science Project  |  2025–26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7293" w:sz="4" w:space="4"/>
      </w:pBdr>
      <w:spacing w:after="0"/>
    </w:pPr>
    <w:r>
      <w:rPr>
        <w:rFonts w:ascii="Arial" w:cs="Arial" w:eastAsia="Arial" w:hAnsi="Arial"/>
        <w:color w:val="1C7293"/>
        <w:sz w:val="18"/>
        <w:szCs w:val="18"/>
      </w:rPr>
      <w:t xml:space="preserve">Malaria Detection System Using CNN &amp; Transfer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34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C729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A23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2026-06-06T20:28:14.591Z</dcterms:created>
  <dcterms:modified xsi:type="dcterms:W3CDTF">2026-06-06T20:28:14.591Z</dcterms:modified>
</cp:coreProperties>
</file>

<file path=docProps/custom.xml><?xml version="1.0" encoding="utf-8"?>
<Properties xmlns="http://schemas.openxmlformats.org/officeDocument/2006/custom-properties" xmlns:vt="http://schemas.openxmlformats.org/officeDocument/2006/docPropsVTypes"/>
</file>