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Results</w:t>
      </w:r>
    </w:p>
    <w:p>
      <w:pPr>
        <w:pStyle w:val="Body"/>
        <w:bidi w:val="0"/>
      </w:pPr>
    </w:p>
    <w:p>
      <w:pPr>
        <w:pStyle w:val="Body"/>
        <w:bidi w:val="0"/>
      </w:pPr>
      <w:r>
        <w:rPr>
          <w:rtl w:val="0"/>
        </w:rPr>
        <w:t>Participant 0030</w:t>
      </w:r>
    </w:p>
    <w:p>
      <w:pPr>
        <w:pStyle w:val="Body"/>
        <w:bidi w:val="0"/>
      </w:pPr>
      <w:r>
        <w:rPr>
          <w:rtl w:val="0"/>
        </w:rPr>
        <w:t>For the test on the upper extremity sensors were mistakenly place on the opposite limb. In other words, sensor 1 was on the left index finger; sensor 2, the left wrist; sensor 3, the right index finger; and sensor 4, the right wrist. The clinical ratings were recorded on the coding form with the correct laterality noted. This was noted by the research team after the ratings had been accomplished for the upper extremity. Therefore, the signals generated by all procedures for the upper extremitly for the test for participant 0030 must be reversed. In other words, for the upper extremity for the test for participant 0030, the signals from sensors 1 and 2 originated from the left and the signals from 3 and 4 originated from the right.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tab/>
    </w:r>
    <w:r>
      <w:rPr>
        <w:rtl w:val="0"/>
        <w:lang w:val="en-US"/>
      </w:rPr>
      <w:t>Clinical quantitiative movements spreadsheet</w:t>
    </w:r>
  </w:p>
  <w:p>
    <w:pPr>
      <w:pStyle w:val="Header &amp; Footer"/>
      <w:tabs>
        <w:tab w:val="center" w:pos="4680"/>
        <w:tab w:val="right" w:pos="9360"/>
        <w:tab w:val="clear" w:pos="9020"/>
      </w:tabs>
      <w:jc w:val="left"/>
    </w:pPr>
    <w:r>
      <w:tab/>
    </w:r>
    <w:r>
      <w:rPr>
        <w:rtl w:val="0"/>
        <w:lang w:val="en-US"/>
      </w:rPr>
      <w:t>El Mandouh, colleagues, Brasic</w:t>
    </w:r>
  </w:p>
  <w:p>
    <w:pPr>
      <w:pStyle w:val="Header &amp; Footer"/>
      <w:tabs>
        <w:tab w:val="center" w:pos="4680"/>
        <w:tab w:val="right" w:pos="9360"/>
        <w:tab w:val="clear" w:pos="9020"/>
      </w:tabs>
      <w:jc w:val="left"/>
    </w:pPr>
    <w:r>
      <w:tab/>
    </w:r>
    <w:r>
      <w:rPr>
        <w:rtl w:val="0"/>
        <w:lang w:val="en-US"/>
      </w:rPr>
      <w:t>May 11, 2020</w:t>
    </w:r>
  </w:p>
  <w:p>
    <w:pPr>
      <w:pStyle w:val="Header &amp; Footer"/>
      <w:tabs>
        <w:tab w:val="center" w:pos="4680"/>
        <w:tab w:val="right" w:pos="9360"/>
        <w:tab w:val="clear" w:pos="9020"/>
      </w:tabs>
      <w:jc w:val="left"/>
    </w:pPr>
    <w:r>
      <w:tab/>
    </w:r>
    <w:r>
      <w:rPr>
        <w:rtl w:val="0"/>
        <w:lang w:val="en-US"/>
      </w:rPr>
      <w:t>Privileged and confidential communication.</w:t>
    </w:r>
  </w:p>
  <w:p>
    <w:pPr>
      <w:pStyle w:val="Header &amp; Footer"/>
      <w:tabs>
        <w:tab w:val="center" w:pos="4680"/>
        <w:tab w:val="right" w:pos="9360"/>
        <w:tab w:val="clear" w:pos="9020"/>
      </w:tabs>
      <w:jc w:val="left"/>
    </w:pPr>
    <w:r>
      <w:tab/>
    </w:r>
    <w:r>
      <w:rPr>
        <w:rtl w:val="0"/>
        <w:lang w:val="en-US"/>
      </w:rPr>
      <w:t>Do not cite or reproduce without the permission of the authors</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