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CRM + Agentic AI Platform</w:t>
      </w:r>
    </w:p>
    <w:p>
      <w:pPr>
        <w:spacing w:after="100"/>
      </w:pPr>
      <w:r>
        <w:rPr>
          <w:b/>
          <w:bCs/>
          <w:sz w:val="28"/>
          <w:szCs w:val="28"/>
        </w:rPr>
        <w:t xml:space="preserve">Technical Documentation — Phase 1 Architecture</w:t>
      </w:r>
    </w:p>
    <w:p>
      <w:pPr>
        <w:spacing w:after="400"/>
      </w:pPr>
      <w:r>
        <w:rPr>
          <w:i/>
          <w:iCs/>
          <w:color w:val="555555"/>
        </w:rPr>
        <w:t xml:space="preserve">Agent design, data model, integration approach, and tech stack rationale</w:t>
      </w:r>
    </w:p>
    <w:p>
      <w:pPr>
        <w:pStyle w:val="Heading1"/>
        <w:spacing w:after="200" w:before="400"/>
      </w:pPr>
      <w:r>
        <w:t xml:space="preserve">1. Design Philosophy</w:t>
      </w:r>
    </w:p>
    <w:p>
      <w:pPr>
        <w:spacing w:after="150"/>
      </w:pPr>
      <w:r>
        <w:t xml:space="preserve">The hardest part of this system is not connecting to Instagram or WhatsApp — those are well-documented integration tasks. The hardest part is the Agentic AI layer's judgment: knowing when to answer directly, when to check inventory, when to cross-sell, when to escalate to the owner, and when to say nothing at all. Get this wrong and the product feels either annoying (over-messaging, wrong cross-sells) or untrustworthy (confidently wrong stock/price answers).</w:t>
      </w:r>
    </w:p>
    <w:p>
      <w:pPr>
        <w:spacing w:after="150"/>
      </w:pPr>
      <w:r>
        <w:t xml:space="preserve">The architecture below is built around one core principle: the AI agent should never be a single black-box prompt that 'decides everything.' It should be a small, explicit decision layer (a router) that classifies what kind of situation a message represents, and only then hands off to a narrow, well-scoped task (answer FAQ, check inventory, draft a cross-sell, escalate). This is more predictable to build, cheaper to run, and far easier to debug than one giant do-everything agent.</w:t>
      </w:r>
    </w:p>
    <w:p>
      <w:pPr>
        <w:pStyle w:val="Heading1"/>
        <w:spacing w:after="200" w:before="400"/>
      </w:pPr>
      <w:r>
        <w:t xml:space="preserve">2. High-Level Architecture</w:t>
      </w:r>
    </w:p>
    <w:p>
      <w:pPr>
        <w:spacing w:after="150"/>
      </w:pPr>
      <w:r>
        <w:t xml:space="preserve">Four layers, in order of how a message actually flows through the system:</w:t>
      </w:r>
    </w:p>
    <w:p>
      <w:pPr>
        <w:pStyle w:val="ListParagraph"/>
        <w:numPr>
          <w:ilvl w:val="0"/>
          <w:numId w:val="2"/>
        </w:numPr>
        <w:spacing w:after="80"/>
      </w:pPr>
      <w:r>
        <w:t xml:space="preserve">Channel Adapters — one per platform (Instagram, WhatsApp, IndiaMART), each normalizing that platform's message format into one common internal message schema.</w:t>
      </w:r>
    </w:p>
    <w:p>
      <w:pPr>
        <w:pStyle w:val="ListParagraph"/>
        <w:numPr>
          <w:ilvl w:val="0"/>
          <w:numId w:val="2"/>
        </w:numPr>
        <w:spacing w:after="80"/>
      </w:pPr>
      <w:r>
        <w:t xml:space="preserve">The Agent Core — the router + skills described in Section 4. This is where 'what should happen next' gets decided.</w:t>
      </w:r>
    </w:p>
    <w:p>
      <w:pPr>
        <w:pStyle w:val="ListParagraph"/>
        <w:numPr>
          <w:ilvl w:val="0"/>
          <w:numId w:val="2"/>
        </w:numPr>
        <w:spacing w:after="80"/>
      </w:pPr>
      <w:r>
        <w:t xml:space="preserve">The Data Layer — the shared database (products, customers, orders, conversations) every skill reads from and writes to.</w:t>
      </w:r>
    </w:p>
    <w:p>
      <w:pPr>
        <w:pStyle w:val="ListParagraph"/>
        <w:numPr>
          <w:ilvl w:val="0"/>
          <w:numId w:val="2"/>
        </w:numPr>
        <w:spacing w:after="80"/>
      </w:pPr>
      <w:r>
        <w:t xml:space="preserve">The Owner-Facing Layer — the mobile apps and dashboard, which are just views onto the same data layer, plus an approval/escalation queue for anything the agent hands off.</w:t>
      </w:r>
    </w:p>
    <w:p>
      <w:pPr>
        <w:spacing w:after="150"/>
      </w:pPr>
      <w:r>
        <w:t xml:space="preserve">Keeping Channel Adapters thin and dumb (they translate format, they don't make decisions) means adding a new platform later (TradeIndia, e-commerce storefront, etc.) is a new adapter, not a rebuild of the agent logic.</w:t>
      </w:r>
    </w:p>
    <w:p>
      <w:pPr>
        <w:pStyle w:val="Heading1"/>
        <w:spacing w:after="200" w:before="400"/>
      </w:pPr>
      <w:r>
        <w:t xml:space="preserve">3. Core Data Model</w:t>
      </w:r>
    </w:p>
    <w:p>
      <w:pPr>
        <w:spacing w:after="150"/>
      </w:pPr>
      <w:r>
        <w:t xml:space="preserve">Everything else in this document depends on getting these five entities right early, since schema changes get expensive once real conversations and orders are flowing through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800"/>
      </w:tblGrid>
      <w:tr>
        <w:tc>
          <w:tcPr>
            <w:tcW w:type="dxa" w:w="2100"/>
            <w:shd w:fill="2F5496" w:val="clear"/>
            <w:tcMar>
              <w:top w:type="dxa" w:w="100"/>
              <w:left w:type="dxa" w:w="120"/>
              <w:bottom w:type="dxa" w:w="100"/>
              <w:right w:type="dxa" w:w="120"/>
            </w:tcMar>
          </w:tcPr>
          <w:p>
            <w:r>
              <w:rPr>
                <w:b/>
                <w:bCs/>
                <w:color w:val="FFFFFF"/>
              </w:rPr>
              <w:t xml:space="preserve">Entity</w:t>
            </w:r>
          </w:p>
        </w:tc>
        <w:tc>
          <w:tcPr>
            <w:tcW w:type="dxa" w:w="4600"/>
            <w:shd w:fill="2F5496" w:val="clear"/>
            <w:tcMar>
              <w:top w:type="dxa" w:w="100"/>
              <w:left w:type="dxa" w:w="120"/>
              <w:bottom w:type="dxa" w:w="100"/>
              <w:right w:type="dxa" w:w="120"/>
            </w:tcMar>
          </w:tcPr>
          <w:p>
            <w:r>
              <w:rPr>
                <w:b/>
                <w:bCs/>
                <w:color w:val="FFFFFF"/>
              </w:rPr>
              <w:t xml:space="preserve">Key fields</w:t>
            </w:r>
          </w:p>
        </w:tc>
        <w:tc>
          <w:tcPr>
            <w:tcW w:type="dxa" w:w="2800"/>
            <w:shd w:fill="2F5496" w:val="clear"/>
            <w:tcMar>
              <w:top w:type="dxa" w:w="100"/>
              <w:left w:type="dxa" w:w="120"/>
              <w:bottom w:type="dxa" w:w="100"/>
              <w:right w:type="dxa" w:w="120"/>
            </w:tcMar>
          </w:tcPr>
          <w:p>
            <w:r>
              <w:rPr>
                <w:b/>
                <w:bCs/>
                <w:color w:val="FFFFFF"/>
              </w:rPr>
              <w:t xml:space="preserve">Written by</w:t>
            </w:r>
          </w:p>
        </w:tc>
      </w:tr>
      <w:tr>
        <w:tc>
          <w:tcPr>
            <w:tcW w:type="dxa" w:w="2100"/>
            <w:tcMar>
              <w:top w:type="dxa" w:w="100"/>
              <w:left w:type="dxa" w:w="120"/>
              <w:bottom w:type="dxa" w:w="100"/>
              <w:right w:type="dxa" w:w="120"/>
            </w:tcMar>
          </w:tcPr>
          <w:p>
            <w:r>
              <w:rPr>
                <w:b w:val="false"/>
                <w:bCs w:val="false"/>
                <w:color w:val="000000"/>
              </w:rPr>
              <w:t xml:space="preserve">Customer</w:t>
            </w:r>
          </w:p>
        </w:tc>
        <w:tc>
          <w:tcPr>
            <w:tcW w:type="dxa" w:w="4600"/>
            <w:tcMar>
              <w:top w:type="dxa" w:w="100"/>
              <w:left w:type="dxa" w:w="120"/>
              <w:bottom w:type="dxa" w:w="100"/>
              <w:right w:type="dxa" w:w="120"/>
            </w:tcMar>
          </w:tcPr>
          <w:p>
            <w:r>
              <w:rPr>
                <w:b w:val="false"/>
                <w:bCs w:val="false"/>
                <w:color w:val="000000"/>
              </w:rPr>
              <w:t xml:space="preserve">name, phone/handle per channel, linked channel identities, tags</w:t>
            </w:r>
          </w:p>
        </w:tc>
        <w:tc>
          <w:tcPr>
            <w:tcW w:type="dxa" w:w="2800"/>
            <w:tcMar>
              <w:top w:type="dxa" w:w="100"/>
              <w:left w:type="dxa" w:w="120"/>
              <w:bottom w:type="dxa" w:w="100"/>
              <w:right w:type="dxa" w:w="120"/>
            </w:tcMar>
          </w:tcPr>
          <w:p>
            <w:r>
              <w:rPr>
                <w:b w:val="false"/>
                <w:bCs w:val="false"/>
                <w:color w:val="000000"/>
              </w:rPr>
              <w:t xml:space="preserve">Any channel adapter on first contact; merged across channels by phone number where available</w:t>
            </w:r>
          </w:p>
        </w:tc>
      </w:tr>
      <w:tr>
        <w:tc>
          <w:tcPr>
            <w:tcW w:type="dxa" w:w="2100"/>
            <w:tcMar>
              <w:top w:type="dxa" w:w="100"/>
              <w:left w:type="dxa" w:w="120"/>
              <w:bottom w:type="dxa" w:w="100"/>
              <w:right w:type="dxa" w:w="120"/>
            </w:tcMar>
          </w:tcPr>
          <w:p>
            <w:r>
              <w:rPr>
                <w:b w:val="false"/>
                <w:bCs w:val="false"/>
                <w:color w:val="000000"/>
              </w:rPr>
              <w:t xml:space="preserve">Product</w:t>
            </w:r>
          </w:p>
        </w:tc>
        <w:tc>
          <w:tcPr>
            <w:tcW w:type="dxa" w:w="4600"/>
            <w:tcMar>
              <w:top w:type="dxa" w:w="100"/>
              <w:left w:type="dxa" w:w="120"/>
              <w:bottom w:type="dxa" w:w="100"/>
              <w:right w:type="dxa" w:w="120"/>
            </w:tcMar>
          </w:tcPr>
          <w:p>
            <w:r>
              <w:rPr>
                <w:b w:val="false"/>
                <w:bCs w:val="false"/>
                <w:color w:val="000000"/>
              </w:rPr>
              <w:t xml:space="preserve">title, photo, price, stock count, category, cross-sell links</w:t>
            </w:r>
          </w:p>
        </w:tc>
        <w:tc>
          <w:tcPr>
            <w:tcW w:type="dxa" w:w="2800"/>
            <w:tcMar>
              <w:top w:type="dxa" w:w="100"/>
              <w:left w:type="dxa" w:w="120"/>
              <w:bottom w:type="dxa" w:w="100"/>
              <w:right w:type="dxa" w:w="120"/>
            </w:tcMar>
          </w:tcPr>
          <w:p>
            <w:r>
              <w:rPr>
                <w:b w:val="false"/>
                <w:bCs w:val="false"/>
                <w:color w:val="000000"/>
              </w:rPr>
              <w:t xml:space="preserve">Owner via Inventory app; stock count also updated by Order events</w:t>
            </w:r>
          </w:p>
        </w:tc>
      </w:tr>
      <w:tr>
        <w:tc>
          <w:tcPr>
            <w:tcW w:type="dxa" w:w="2100"/>
            <w:tcMar>
              <w:top w:type="dxa" w:w="100"/>
              <w:left w:type="dxa" w:w="120"/>
              <w:bottom w:type="dxa" w:w="100"/>
              <w:right w:type="dxa" w:w="120"/>
            </w:tcMar>
          </w:tcPr>
          <w:p>
            <w:r>
              <w:rPr>
                <w:b w:val="false"/>
                <w:bCs w:val="false"/>
                <w:color w:val="000000"/>
              </w:rPr>
              <w:t xml:space="preserve">Conversation</w:t>
            </w:r>
          </w:p>
        </w:tc>
        <w:tc>
          <w:tcPr>
            <w:tcW w:type="dxa" w:w="4600"/>
            <w:tcMar>
              <w:top w:type="dxa" w:w="100"/>
              <w:left w:type="dxa" w:w="120"/>
              <w:bottom w:type="dxa" w:w="100"/>
              <w:right w:type="dxa" w:w="120"/>
            </w:tcMar>
          </w:tcPr>
          <w:p>
            <w:r>
              <w:rPr>
                <w:b w:val="false"/>
                <w:bCs w:val="false"/>
                <w:color w:val="000000"/>
              </w:rPr>
              <w:t xml:space="preserve">channel, customer ref, message history, current status (open/escalated/resolved)</w:t>
            </w:r>
          </w:p>
        </w:tc>
        <w:tc>
          <w:tcPr>
            <w:tcW w:type="dxa" w:w="2800"/>
            <w:tcMar>
              <w:top w:type="dxa" w:w="100"/>
              <w:left w:type="dxa" w:w="120"/>
              <w:bottom w:type="dxa" w:w="100"/>
              <w:right w:type="dxa" w:w="120"/>
            </w:tcMar>
          </w:tcPr>
          <w:p>
            <w:r>
              <w:rPr>
                <w:b w:val="false"/>
                <w:bCs w:val="false"/>
                <w:color w:val="000000"/>
              </w:rPr>
              <w:t xml:space="preserve">Channel adapters (new messages) and Agent Core (status changes)</w:t>
            </w:r>
          </w:p>
        </w:tc>
      </w:tr>
      <w:tr>
        <w:tc>
          <w:tcPr>
            <w:tcW w:type="dxa" w:w="2100"/>
            <w:tcMar>
              <w:top w:type="dxa" w:w="100"/>
              <w:left w:type="dxa" w:w="120"/>
              <w:bottom w:type="dxa" w:w="100"/>
              <w:right w:type="dxa" w:w="120"/>
            </w:tcMar>
          </w:tcPr>
          <w:p>
            <w:r>
              <w:rPr>
                <w:b w:val="false"/>
                <w:bCs w:val="false"/>
                <w:color w:val="000000"/>
              </w:rPr>
              <w:t xml:space="preserve">Order</w:t>
            </w:r>
          </w:p>
        </w:tc>
        <w:tc>
          <w:tcPr>
            <w:tcW w:type="dxa" w:w="4600"/>
            <w:tcMar>
              <w:top w:type="dxa" w:w="100"/>
              <w:left w:type="dxa" w:w="120"/>
              <w:bottom w:type="dxa" w:w="100"/>
              <w:right w:type="dxa" w:w="120"/>
            </w:tcMar>
          </w:tcPr>
          <w:p>
            <w:r>
              <w:rPr>
                <w:b w:val="false"/>
                <w:bCs w:val="false"/>
                <w:color w:val="000000"/>
              </w:rPr>
              <w:t xml:space="preserve">customer ref, line items, payment status, fulfillment status, source channel/conversation</w:t>
            </w:r>
          </w:p>
        </w:tc>
        <w:tc>
          <w:tcPr>
            <w:tcW w:type="dxa" w:w="2800"/>
            <w:tcMar>
              <w:top w:type="dxa" w:w="100"/>
              <w:left w:type="dxa" w:w="120"/>
              <w:bottom w:type="dxa" w:w="100"/>
              <w:right w:type="dxa" w:w="120"/>
            </w:tcMar>
          </w:tcPr>
          <w:p>
            <w:r>
              <w:rPr>
                <w:b w:val="false"/>
                <w:bCs w:val="false"/>
                <w:color w:val="000000"/>
              </w:rPr>
              <w:t xml:space="preserve">Agent Core on confirmed order; owner can manually create/edit</w:t>
            </w:r>
          </w:p>
        </w:tc>
      </w:tr>
      <w:tr>
        <w:tc>
          <w:tcPr>
            <w:tcW w:type="dxa" w:w="2100"/>
            <w:tcMar>
              <w:top w:type="dxa" w:w="100"/>
              <w:left w:type="dxa" w:w="120"/>
              <w:bottom w:type="dxa" w:w="100"/>
              <w:right w:type="dxa" w:w="120"/>
            </w:tcMar>
          </w:tcPr>
          <w:p>
            <w:r>
              <w:rPr>
                <w:b w:val="false"/>
                <w:bCs w:val="false"/>
                <w:color w:val="000000"/>
              </w:rPr>
              <w:t xml:space="preserve">Escalation</w:t>
            </w:r>
          </w:p>
        </w:tc>
        <w:tc>
          <w:tcPr>
            <w:tcW w:type="dxa" w:w="4600"/>
            <w:tcMar>
              <w:top w:type="dxa" w:w="100"/>
              <w:left w:type="dxa" w:w="120"/>
              <w:bottom w:type="dxa" w:w="100"/>
              <w:right w:type="dxa" w:w="120"/>
            </w:tcMar>
          </w:tcPr>
          <w:p>
            <w:r>
              <w:rPr>
                <w:b w:val="false"/>
                <w:bCs w:val="false"/>
                <w:color w:val="000000"/>
              </w:rPr>
              <w:t xml:space="preserve">conversation ref, reason, priority, resolved-by</w:t>
            </w:r>
          </w:p>
        </w:tc>
        <w:tc>
          <w:tcPr>
            <w:tcW w:type="dxa" w:w="2800"/>
            <w:tcMar>
              <w:top w:type="dxa" w:w="100"/>
              <w:left w:type="dxa" w:w="120"/>
              <w:bottom w:type="dxa" w:w="100"/>
              <w:right w:type="dxa" w:w="120"/>
            </w:tcMar>
          </w:tcPr>
          <w:p>
            <w:r>
              <w:rPr>
                <w:b w:val="false"/>
                <w:bCs w:val="false"/>
                <w:color w:val="000000"/>
              </w:rPr>
              <w:t xml:space="preserve">Agent Core, whenever the router decides not to auto-handle something</w:t>
            </w:r>
          </w:p>
        </w:tc>
      </w:tr>
    </w:tbl>
    <w:p>
      <w:pPr>
        <w:spacing w:after="150"/>
      </w:pPr>
      <w:r>
        <w:t xml:space="preserve">Customer identity resolution deserves a specific note: the same person will DM on Instagram and later message on WhatsApp using a different-looking handle. Where a phone number is available on both sides, that's the merge key. Where it isn't (Instagram-only interactions with no phone shared yet), the customer record stays channel-scoped until a phone number or order links it — don't force an unreliable merge and risk mixing two different people's history.</w:t>
      </w:r>
    </w:p>
    <w:p>
      <w:pPr>
        <w:pStyle w:val="Heading1"/>
        <w:spacing w:after="200" w:before="400"/>
      </w:pPr>
      <w:r>
        <w:t xml:space="preserve">4. The Agent Core: How the AI Decides What To Do</w:t>
      </w:r>
    </w:p>
    <w:p>
      <w:pPr>
        <w:spacing w:after="150"/>
      </w:pPr>
      <w:r>
        <w:t xml:space="preserve">This is the section that answers your core question — how does the same agent know when to just answer, when to check inventory, when to cross-sell, when to escalate. The answer is a two-stage pattern: classify, then execute a narrow skill.</w:t>
      </w:r>
    </w:p>
    <w:p>
      <w:pPr>
        <w:pStyle w:val="Heading2"/>
        <w:spacing w:after="150" w:before="300"/>
      </w:pPr>
      <w:r>
        <w:t xml:space="preserve">4.1 Stage 1 — The Router (Classification)</w:t>
      </w:r>
    </w:p>
    <w:p>
      <w:pPr>
        <w:spacing w:after="150"/>
      </w:pPr>
      <w:r>
        <w:t xml:space="preserve">Every inbound message (DM, comment, WhatsApp message) first goes through a lightweight classification step before any 'real' reply is generated. This step's only job is to answer: what kind of message is this? It should be fast and cheap — this runs on every single message, so it's the wrong place to spend your most expensive model call.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000"/>
      </w:tblGrid>
      <w:tr>
        <w:tc>
          <w:tcPr>
            <w:tcW w:type="dxa" w:w="2600"/>
            <w:shd w:fill="2F5496" w:val="clear"/>
            <w:tcMar>
              <w:top w:type="dxa" w:w="100"/>
              <w:left w:type="dxa" w:w="120"/>
              <w:bottom w:type="dxa" w:w="100"/>
              <w:right w:type="dxa" w:w="120"/>
            </w:tcMar>
          </w:tcPr>
          <w:p>
            <w:r>
              <w:rPr>
                <w:b/>
                <w:bCs/>
                <w:color w:val="FFFFFF"/>
              </w:rPr>
              <w:t xml:space="preserve">Classification</w:t>
            </w:r>
          </w:p>
        </w:tc>
        <w:tc>
          <w:tcPr>
            <w:tcW w:type="dxa" w:w="3900"/>
            <w:shd w:fill="2F5496" w:val="clear"/>
            <w:tcMar>
              <w:top w:type="dxa" w:w="100"/>
              <w:left w:type="dxa" w:w="120"/>
              <w:bottom w:type="dxa" w:w="100"/>
              <w:right w:type="dxa" w:w="120"/>
            </w:tcMar>
          </w:tcPr>
          <w:p>
            <w:r>
              <w:rPr>
                <w:b/>
                <w:bCs/>
                <w:color w:val="FFFFFF"/>
              </w:rPr>
              <w:t xml:space="preserve">What triggers it</w:t>
            </w:r>
          </w:p>
        </w:tc>
        <w:tc>
          <w:tcPr>
            <w:tcW w:type="dxa" w:w="3000"/>
            <w:shd w:fill="2F5496" w:val="clear"/>
            <w:tcMar>
              <w:top w:type="dxa" w:w="100"/>
              <w:left w:type="dxa" w:w="120"/>
              <w:bottom w:type="dxa" w:w="100"/>
              <w:right w:type="dxa" w:w="120"/>
            </w:tcMar>
          </w:tcPr>
          <w:p>
            <w:r>
              <w:rPr>
                <w:b/>
                <w:bCs/>
                <w:color w:val="FFFFFF"/>
              </w:rPr>
              <w:t xml:space="preserve">Routed to</w:t>
            </w:r>
          </w:p>
        </w:tc>
      </w:tr>
      <w:tr>
        <w:tc>
          <w:tcPr>
            <w:tcW w:type="dxa" w:w="2600"/>
            <w:tcMar>
              <w:top w:type="dxa" w:w="100"/>
              <w:left w:type="dxa" w:w="120"/>
              <w:bottom w:type="dxa" w:w="100"/>
              <w:right w:type="dxa" w:w="120"/>
            </w:tcMar>
          </w:tcPr>
          <w:p>
            <w:r>
              <w:rPr>
                <w:b w:val="false"/>
                <w:bCs w:val="false"/>
                <w:color w:val="000000"/>
              </w:rPr>
              <w:t xml:space="preserve">Product/price/stock question</w:t>
            </w:r>
          </w:p>
        </w:tc>
        <w:tc>
          <w:tcPr>
            <w:tcW w:type="dxa" w:w="3900"/>
            <w:tcMar>
              <w:top w:type="dxa" w:w="100"/>
              <w:left w:type="dxa" w:w="120"/>
              <w:bottom w:type="dxa" w:w="100"/>
              <w:right w:type="dxa" w:w="120"/>
            </w:tcMar>
          </w:tcPr>
          <w:p>
            <w:r>
              <w:rPr>
                <w:b w:val="false"/>
                <w:bCs w:val="false"/>
                <w:color w:val="000000"/>
              </w:rPr>
              <w:t xml:space="preserve">Mentions a product, asks price/availability/size</w:t>
            </w:r>
          </w:p>
        </w:tc>
        <w:tc>
          <w:tcPr>
            <w:tcW w:type="dxa" w:w="3000"/>
            <w:tcMar>
              <w:top w:type="dxa" w:w="100"/>
              <w:left w:type="dxa" w:w="120"/>
              <w:bottom w:type="dxa" w:w="100"/>
              <w:right w:type="dxa" w:w="120"/>
            </w:tcMar>
          </w:tcPr>
          <w:p>
            <w:r>
              <w:rPr>
                <w:b w:val="false"/>
                <w:bCs w:val="false"/>
                <w:color w:val="000000"/>
              </w:rPr>
              <w:t xml:space="preserve">Inventory-Grounded Reply skill (4.2)</w:t>
            </w:r>
          </w:p>
        </w:tc>
      </w:tr>
      <w:tr>
        <w:tc>
          <w:tcPr>
            <w:tcW w:type="dxa" w:w="2600"/>
            <w:tcMar>
              <w:top w:type="dxa" w:w="100"/>
              <w:left w:type="dxa" w:w="120"/>
              <w:bottom w:type="dxa" w:w="100"/>
              <w:right w:type="dxa" w:w="120"/>
            </w:tcMar>
          </w:tcPr>
          <w:p>
            <w:r>
              <w:rPr>
                <w:b w:val="false"/>
                <w:bCs w:val="false"/>
                <w:color w:val="000000"/>
              </w:rPr>
              <w:t xml:space="preserve">General FAQ</w:t>
            </w:r>
          </w:p>
        </w:tc>
        <w:tc>
          <w:tcPr>
            <w:tcW w:type="dxa" w:w="3900"/>
            <w:tcMar>
              <w:top w:type="dxa" w:w="100"/>
              <w:left w:type="dxa" w:w="120"/>
              <w:bottom w:type="dxa" w:w="100"/>
              <w:right w:type="dxa" w:w="120"/>
            </w:tcMar>
          </w:tcPr>
          <w:p>
            <w:r>
              <w:rPr>
                <w:b w:val="false"/>
                <w:bCs w:val="false"/>
                <w:color w:val="000000"/>
              </w:rPr>
              <w:t xml:space="preserve">Delivery area, return policy, payment methods, business hours</w:t>
            </w:r>
          </w:p>
        </w:tc>
        <w:tc>
          <w:tcPr>
            <w:tcW w:type="dxa" w:w="3000"/>
            <w:tcMar>
              <w:top w:type="dxa" w:w="100"/>
              <w:left w:type="dxa" w:w="120"/>
              <w:bottom w:type="dxa" w:w="100"/>
              <w:right w:type="dxa" w:w="120"/>
            </w:tcMar>
          </w:tcPr>
          <w:p>
            <w:r>
              <w:rPr>
                <w:b w:val="false"/>
                <w:bCs w:val="false"/>
                <w:color w:val="000000"/>
              </w:rPr>
              <w:t xml:space="preserve">FAQ Reply skill — answers from static owner-maintained content</w:t>
            </w:r>
          </w:p>
        </w:tc>
      </w:tr>
      <w:tr>
        <w:tc>
          <w:tcPr>
            <w:tcW w:type="dxa" w:w="2600"/>
            <w:tcMar>
              <w:top w:type="dxa" w:w="100"/>
              <w:left w:type="dxa" w:w="120"/>
              <w:bottom w:type="dxa" w:w="100"/>
              <w:right w:type="dxa" w:w="120"/>
            </w:tcMar>
          </w:tcPr>
          <w:p>
            <w:r>
              <w:rPr>
                <w:b w:val="false"/>
                <w:bCs w:val="false"/>
                <w:color w:val="000000"/>
              </w:rPr>
              <w:t xml:space="preserve">Buying-intent comment</w:t>
            </w:r>
          </w:p>
        </w:tc>
        <w:tc>
          <w:tcPr>
            <w:tcW w:type="dxa" w:w="3900"/>
            <w:tcMar>
              <w:top w:type="dxa" w:w="100"/>
              <w:left w:type="dxa" w:w="120"/>
              <w:bottom w:type="dxa" w:w="100"/>
              <w:right w:type="dxa" w:w="120"/>
            </w:tcMar>
          </w:tcPr>
          <w:p>
            <w:r>
              <w:rPr>
                <w:b w:val="false"/>
                <w:bCs w:val="false"/>
                <w:color w:val="000000"/>
              </w:rPr>
              <w:t xml:space="preserve">Public comment with purchase-intent language under a post</w:t>
            </w:r>
          </w:p>
        </w:tc>
        <w:tc>
          <w:tcPr>
            <w:tcW w:type="dxa" w:w="3000"/>
            <w:tcMar>
              <w:top w:type="dxa" w:w="100"/>
              <w:left w:type="dxa" w:w="120"/>
              <w:bottom w:type="dxa" w:w="100"/>
              <w:right w:type="dxa" w:w="120"/>
            </w:tcMar>
          </w:tcPr>
          <w:p>
            <w:r>
              <w:rPr>
                <w:b w:val="false"/>
                <w:bCs w:val="false"/>
                <w:color w:val="000000"/>
              </w:rPr>
              <w:t xml:space="preserve">Comment-to-DM skill — sends private reply, opens a DM conversation</w:t>
            </w:r>
          </w:p>
        </w:tc>
      </w:tr>
      <w:tr>
        <w:tc>
          <w:tcPr>
            <w:tcW w:type="dxa" w:w="2600"/>
            <w:tcMar>
              <w:top w:type="dxa" w:w="100"/>
              <w:left w:type="dxa" w:w="120"/>
              <w:bottom w:type="dxa" w:w="100"/>
              <w:right w:type="dxa" w:w="120"/>
            </w:tcMar>
          </w:tcPr>
          <w:p>
            <w:r>
              <w:rPr>
                <w:b w:val="false"/>
                <w:bCs w:val="false"/>
                <w:color w:val="000000"/>
              </w:rPr>
              <w:t xml:space="preserve">Shared-post / ordering intent</w:t>
            </w:r>
          </w:p>
        </w:tc>
        <w:tc>
          <w:tcPr>
            <w:tcW w:type="dxa" w:w="3900"/>
            <w:tcMar>
              <w:top w:type="dxa" w:w="100"/>
              <w:left w:type="dxa" w:w="120"/>
              <w:bottom w:type="dxa" w:w="100"/>
              <w:right w:type="dxa" w:w="120"/>
            </w:tcMar>
          </w:tcPr>
          <w:p>
            <w:r>
              <w:rPr>
                <w:b w:val="false"/>
                <w:bCs w:val="false"/>
                <w:color w:val="000000"/>
              </w:rPr>
              <w:t xml:space="preserve">Customer shares/references a specific post and expresses intent to buy</w:t>
            </w:r>
          </w:p>
        </w:tc>
        <w:tc>
          <w:tcPr>
            <w:tcW w:type="dxa" w:w="3000"/>
            <w:tcMar>
              <w:top w:type="dxa" w:w="100"/>
              <w:left w:type="dxa" w:w="120"/>
              <w:bottom w:type="dxa" w:w="100"/>
              <w:right w:type="dxa" w:w="120"/>
            </w:tcMar>
          </w:tcPr>
          <w:p>
            <w:r>
              <w:rPr>
                <w:b w:val="false"/>
                <w:bCs w:val="false"/>
                <w:color w:val="000000"/>
              </w:rPr>
              <w:t xml:space="preserve">Guided Ordering skill (4.3)</w:t>
            </w:r>
          </w:p>
        </w:tc>
      </w:tr>
      <w:tr>
        <w:tc>
          <w:tcPr>
            <w:tcW w:type="dxa" w:w="2600"/>
            <w:tcMar>
              <w:top w:type="dxa" w:w="100"/>
              <w:left w:type="dxa" w:w="120"/>
              <w:bottom w:type="dxa" w:w="100"/>
              <w:right w:type="dxa" w:w="120"/>
            </w:tcMar>
          </w:tcPr>
          <w:p>
            <w:r>
              <w:rPr>
                <w:b w:val="false"/>
                <w:bCs w:val="false"/>
                <w:color w:val="000000"/>
              </w:rPr>
              <w:t xml:space="preserve">Complaint / sensitive / ambiguous</w:t>
            </w:r>
          </w:p>
        </w:tc>
        <w:tc>
          <w:tcPr>
            <w:tcW w:type="dxa" w:w="3900"/>
            <w:tcMar>
              <w:top w:type="dxa" w:w="100"/>
              <w:left w:type="dxa" w:w="120"/>
              <w:bottom w:type="dxa" w:w="100"/>
              <w:right w:type="dxa" w:w="120"/>
            </w:tcMar>
          </w:tcPr>
          <w:p>
            <w:r>
              <w:rPr>
                <w:b w:val="false"/>
                <w:bCs w:val="false"/>
                <w:color w:val="000000"/>
              </w:rPr>
              <w:t xml:space="preserve">Negative sentiment, refund/damage claims, anything the classifier isn't confident about</w:t>
            </w:r>
          </w:p>
        </w:tc>
        <w:tc>
          <w:tcPr>
            <w:tcW w:type="dxa" w:w="3000"/>
            <w:tcMar>
              <w:top w:type="dxa" w:w="100"/>
              <w:left w:type="dxa" w:w="120"/>
              <w:bottom w:type="dxa" w:w="100"/>
              <w:right w:type="dxa" w:w="120"/>
            </w:tcMar>
          </w:tcPr>
          <w:p>
            <w:r>
              <w:rPr>
                <w:b w:val="false"/>
                <w:bCs w:val="false"/>
                <w:color w:val="000000"/>
              </w:rPr>
              <w:t xml:space="preserve">Escalation (4.4) — never auto-answered</w:t>
            </w:r>
          </w:p>
        </w:tc>
      </w:tr>
      <w:tr>
        <w:tc>
          <w:tcPr>
            <w:tcW w:type="dxa" w:w="2600"/>
            <w:tcMar>
              <w:top w:type="dxa" w:w="100"/>
              <w:left w:type="dxa" w:w="120"/>
              <w:bottom w:type="dxa" w:w="100"/>
              <w:right w:type="dxa" w:w="120"/>
            </w:tcMar>
          </w:tcPr>
          <w:p>
            <w:r>
              <w:rPr>
                <w:b w:val="false"/>
                <w:bCs w:val="false"/>
                <w:color w:val="000000"/>
              </w:rPr>
              <w:t xml:space="preserve">Small talk / unclear</w:t>
            </w:r>
          </w:p>
        </w:tc>
        <w:tc>
          <w:tcPr>
            <w:tcW w:type="dxa" w:w="3900"/>
            <w:tcMar>
              <w:top w:type="dxa" w:w="100"/>
              <w:left w:type="dxa" w:w="120"/>
              <w:bottom w:type="dxa" w:w="100"/>
              <w:right w:type="dxa" w:w="120"/>
            </w:tcMar>
          </w:tcPr>
          <w:p>
            <w:r>
              <w:rPr>
                <w:b w:val="false"/>
                <w:bCs w:val="false"/>
                <w:color w:val="000000"/>
              </w:rPr>
              <w:t xml:space="preserve">Greetings, unclear intent, or below a confidence threshold on all the above</w:t>
            </w:r>
          </w:p>
        </w:tc>
        <w:tc>
          <w:tcPr>
            <w:tcW w:type="dxa" w:w="3000"/>
            <w:tcMar>
              <w:top w:type="dxa" w:w="100"/>
              <w:left w:type="dxa" w:w="120"/>
              <w:bottom w:type="dxa" w:w="100"/>
              <w:right w:type="dxa" w:w="120"/>
            </w:tcMar>
          </w:tcPr>
          <w:p>
            <w:r>
              <w:rPr>
                <w:b w:val="false"/>
                <w:bCs w:val="false"/>
                <w:color w:val="000000"/>
              </w:rPr>
              <w:t xml:space="preserve">Low-cost holding reply + soft escalation if it repeats</w:t>
            </w:r>
          </w:p>
        </w:tc>
      </w:tr>
    </w:tbl>
    <w:p>
      <w:pPr>
        <w:spacing w:after="150"/>
      </w:pPr>
      <w:r>
        <w:t xml:space="preserve">The confidence threshold matters more than the categories themselves: if the router isn't confident which bucket a message falls into, the default behavior must be to escalate or hold, never to guess and answer anyway. A wrong guess that reaches the customer is far more damaging to trust in this product than a slightly slower human-assisted reply.</w:t>
      </w:r>
    </w:p>
    <w:p>
      <w:pPr>
        <w:pStyle w:val="Heading2"/>
        <w:spacing w:after="150" w:before="300"/>
      </w:pPr>
      <w:r>
        <w:t xml:space="preserve">4.2 Inventory-Grounded Replies</w:t>
      </w:r>
    </w:p>
    <w:p>
      <w:pPr>
        <w:spacing w:after="150"/>
      </w:pPr>
      <w:r>
        <w:t xml:space="preserve">This is the skill behind FAQ-based replies (5.4 in the business doc), reply-based ordering (5.5), and any price/stock question in a normal DM (5.1). The design principle: the agent must never answer a stock or price question from its own generated knowledge — it must always look up the live Product record first, every time, with no caching of 'the price was X last time.'</w:t>
      </w:r>
    </w:p>
    <w:p>
      <w:pPr>
        <w:pStyle w:val="ListParagraph"/>
        <w:numPr>
          <w:ilvl w:val="0"/>
          <w:numId w:val="3"/>
        </w:numPr>
        <w:spacing w:after="80"/>
      </w:pPr>
      <w:r>
        <w:t xml:space="preserve">Extract which product(s) the customer is referring to — from explicit text, from a shared post reference, or from recent conversation context.</w:t>
      </w:r>
    </w:p>
    <w:p>
      <w:pPr>
        <w:pStyle w:val="ListParagraph"/>
        <w:numPr>
          <w:ilvl w:val="0"/>
          <w:numId w:val="3"/>
        </w:numPr>
        <w:spacing w:after="80"/>
      </w:pPr>
      <w:r>
        <w:t xml:space="preserve">Query the live Product record for price, stock count, and variant availability.</w:t>
      </w:r>
    </w:p>
    <w:p>
      <w:pPr>
        <w:pStyle w:val="ListParagraph"/>
        <w:numPr>
          <w:ilvl w:val="0"/>
          <w:numId w:val="3"/>
        </w:numPr>
        <w:spacing w:after="80"/>
      </w:pPr>
      <w:r>
        <w:t xml:space="preserve">If in stock: generate a natural-language answer grounded strictly in those retrieved fields.</w:t>
      </w:r>
    </w:p>
    <w:p>
      <w:pPr>
        <w:pStyle w:val="ListParagraph"/>
        <w:numPr>
          <w:ilvl w:val="0"/>
          <w:numId w:val="3"/>
        </w:numPr>
        <w:spacing w:after="80"/>
      </w:pPr>
      <w:r>
        <w:t xml:space="preserve">If out of stock: say so plainly, and offer the closest in-stock alternative from the same category if one exists.</w:t>
      </w:r>
    </w:p>
    <w:p>
      <w:pPr>
        <w:pStyle w:val="ListParagraph"/>
        <w:numPr>
          <w:ilvl w:val="0"/>
          <w:numId w:val="3"/>
        </w:numPr>
        <w:spacing w:after="80"/>
      </w:pPr>
      <w:r>
        <w:t xml:space="preserve">Log which product(s) were referenced against the Conversation record, so cross-sell (4.5) and reporting both have this context downstream.</w:t>
      </w:r>
    </w:p>
    <w:p>
      <w:pPr>
        <w:pStyle w:val="Heading2"/>
        <w:spacing w:after="150" w:before="300"/>
      </w:pPr>
      <w:r>
        <w:t xml:space="preserve">4.3 Guided Ordering Flow</w:t>
      </w:r>
    </w:p>
    <w:p>
      <w:pPr>
        <w:spacing w:after="150"/>
      </w:pPr>
      <w:r>
        <w:t xml:space="preserve">Once intent to buy is detected, this is a short, structured multi-turn flow rather than an open-ended chat — this is where reliability matters most, because it ends in a real order record.</w:t>
      </w:r>
    </w:p>
    <w:p>
      <w:pPr>
        <w:pStyle w:val="ListParagraph"/>
        <w:numPr>
          <w:ilvl w:val="0"/>
          <w:numId w:val="4"/>
        </w:numPr>
        <w:spacing w:after="80"/>
      </w:pPr>
      <w:r>
        <w:t xml:space="preserve">Confirm the exact product/variant and quantity with the customer.</w:t>
      </w:r>
    </w:p>
    <w:p>
      <w:pPr>
        <w:pStyle w:val="ListParagraph"/>
        <w:numPr>
          <w:ilvl w:val="0"/>
          <w:numId w:val="4"/>
        </w:numPr>
        <w:spacing w:after="80"/>
      </w:pPr>
      <w:r>
        <w:t xml:space="preserve">Re-check live stock at this exact moment (not the value fetched earlier in the conversation — stock can change between messages).</w:t>
      </w:r>
    </w:p>
    <w:p>
      <w:pPr>
        <w:pStyle w:val="ListParagraph"/>
        <w:numPr>
          <w:ilvl w:val="0"/>
          <w:numId w:val="4"/>
        </w:numPr>
        <w:spacing w:after="80"/>
      </w:pPr>
      <w:r>
        <w:t xml:space="preserve">Collect delivery details (address for shipped orders, or confirm local pickup/delivery).</w:t>
      </w:r>
    </w:p>
    <w:p>
      <w:pPr>
        <w:pStyle w:val="ListParagraph"/>
        <w:numPr>
          <w:ilvl w:val="0"/>
          <w:numId w:val="4"/>
        </w:numPr>
        <w:spacing w:after="80"/>
      </w:pPr>
      <w:r>
        <w:t xml:space="preserve">Create an Order record with status 'pending payment' and summarize it back to the customer for confirmation.</w:t>
      </w:r>
    </w:p>
    <w:p>
      <w:pPr>
        <w:pStyle w:val="ListParagraph"/>
        <w:numPr>
          <w:ilvl w:val="0"/>
          <w:numId w:val="4"/>
        </w:numPr>
        <w:spacing w:after="80"/>
      </w:pPr>
      <w:r>
        <w:t xml:space="preserve">Hand off to payment collection (a payment link or the owner's existing UPI/QR flow) — Phase 1 does not need a custom payment gateway, just a way to record that payment was requested and later confirm receipt.</w:t>
      </w:r>
    </w:p>
    <w:p>
      <w:pPr>
        <w:pStyle w:val="Heading2"/>
        <w:spacing w:after="150" w:before="300"/>
      </w:pPr>
      <w:r>
        <w:t xml:space="preserve">4.4 Escalation</w:t>
      </w:r>
    </w:p>
    <w:p>
      <w:pPr>
        <w:spacing w:after="150"/>
      </w:pPr>
      <w:r>
        <w:t xml:space="preserve">Escalation is not a failure state — it is a first-class, expected outcome for a meaningful share of conversations, and should be treated as a feature, not an edge case in the code.</w:t>
      </w:r>
    </w:p>
    <w:p>
      <w:pPr>
        <w:pStyle w:val="ListParagraph"/>
        <w:numPr>
          <w:ilvl w:val="0"/>
          <w:numId w:val="5"/>
        </w:numPr>
        <w:spacing w:after="80"/>
      </w:pPr>
      <w:r>
        <w:t xml:space="preserve">Every escalation creates an Escalation record with a reason, so the owner isn't just told 'someone needs you' with no context.</w:t>
      </w:r>
    </w:p>
    <w:p>
      <w:pPr>
        <w:pStyle w:val="ListParagraph"/>
        <w:numPr>
          <w:ilvl w:val="0"/>
          <w:numId w:val="5"/>
        </w:numPr>
        <w:spacing w:after="80"/>
      </w:pPr>
      <w:r>
        <w:t xml:space="preserve">The owner sees escalations in one queue (in the CRM Portal / mobile app), ordered by priority, not buried in a raw chat feed.</w:t>
      </w:r>
    </w:p>
    <w:p>
      <w:pPr>
        <w:pStyle w:val="ListParagraph"/>
        <w:numPr>
          <w:ilvl w:val="0"/>
          <w:numId w:val="5"/>
        </w:numPr>
        <w:spacing w:after="80"/>
      </w:pPr>
      <w:r>
        <w:t xml:space="preserve">When the owner resolves an escalation by replying manually, that reply and outcome should be retained as a labeled example — this is the cheapest source of training signal for improving the FAQ/router over time.</w:t>
      </w:r>
    </w:p>
    <w:p>
      <w:pPr>
        <w:pStyle w:val="Heading2"/>
        <w:spacing w:after="150" w:before="300"/>
      </w:pPr>
      <w:r>
        <w:t xml:space="preserve">4.5 Cross-Selling</w:t>
      </w:r>
    </w:p>
    <w:p>
      <w:pPr>
        <w:spacing w:after="150"/>
      </w:pPr>
      <w:r>
        <w:t xml:space="preserve">Cross-sell suggestions are generated, not sent, by default inside the main reply flow — they're appended to an answer the agent was already giving, never sent as a standalone unsolicited message.</w:t>
      </w:r>
    </w:p>
    <w:p>
      <w:pPr>
        <w:pStyle w:val="ListParagraph"/>
        <w:numPr>
          <w:ilvl w:val="0"/>
          <w:numId w:val="6"/>
        </w:numPr>
        <w:spacing w:after="80"/>
      </w:pPr>
      <w:r>
        <w:t xml:space="preserve">After answering the customer's actual question, check the Product record's configured cross-sell links (owner-defined) or, if none configured, frequently-bought-together pairs derived from Order history.</w:t>
      </w:r>
    </w:p>
    <w:p>
      <w:pPr>
        <w:pStyle w:val="ListParagraph"/>
        <w:numPr>
          <w:ilvl w:val="0"/>
          <w:numId w:val="6"/>
        </w:numPr>
        <w:spacing w:after="80"/>
      </w:pPr>
      <w:r>
        <w:t xml:space="preserve">Cap this to one cross-sell suggestion per conversation, tracked on the Conversation record, so the same customer isn't upsold repeatedly across multiple messages.</w:t>
      </w:r>
    </w:p>
    <w:p>
      <w:pPr>
        <w:pStyle w:val="ListParagraph"/>
        <w:numPr>
          <w:ilvl w:val="0"/>
          <w:numId w:val="6"/>
        </w:numPr>
        <w:spacing w:after="80"/>
      </w:pPr>
      <w:r>
        <w:t xml:space="preserve">Phrase it as a natural addition to the existing answer, not a separate sales pitch message.</w:t>
      </w:r>
    </w:p>
    <w:p>
      <w:r>
        <w:br w:type="page"/>
      </w:r>
    </w:p>
    <w:p>
      <w:pPr>
        <w:pStyle w:val="Heading1"/>
        <w:spacing w:after="200" w:before="400"/>
      </w:pPr>
      <w:r>
        <w:t xml:space="preserve">5. Channel Integration Approach</w:t>
      </w:r>
    </w:p>
    <w:p>
      <w:pPr>
        <w:pStyle w:val="Heading2"/>
        <w:spacing w:after="150" w:before="300"/>
      </w:pPr>
      <w:r>
        <w:t xml:space="preserve">5.1 Instagram</w:t>
      </w:r>
    </w:p>
    <w:p>
      <w:pPr>
        <w:pStyle w:val="Heading3"/>
        <w:spacing w:after="100" w:before="200"/>
      </w:pPr>
      <w:r>
        <w:t xml:space="preserve">Integration path</w:t>
      </w:r>
    </w:p>
    <w:p>
      <w:pPr>
        <w:spacing w:after="150"/>
      </w:pPr>
      <w:r>
        <w:rPr>
          <w:b/>
          <w:bCs/>
        </w:rPr>
        <w:t xml:space="preserve">Goal: </w:t>
      </w:r>
      <w:r>
        <w:t xml:space="preserve">Enable DM replies, comment monitoring, private replies, and content publishing through Meta's official Instagram Graph API and Instagram Messaging API.</w:t>
      </w:r>
    </w:p>
    <w:p>
      <w:pPr>
        <w:spacing w:after="150"/>
      </w:pPr>
      <w:r>
        <w:rPr>
          <w:b/>
          <w:bCs/>
        </w:rPr>
        <w:t xml:space="preserve">Implementation approach:</w:t>
      </w:r>
    </w:p>
    <w:p>
      <w:pPr>
        <w:pStyle w:val="ListParagraph"/>
        <w:numPr>
          <w:ilvl w:val="0"/>
          <w:numId w:val="7"/>
        </w:numPr>
        <w:spacing w:after="80"/>
      </w:pPr>
      <w:r>
        <w:t xml:space="preserve">Require each onboarding business to convert to an Instagram Business/Creator account linked to a Facebook Page (a prerequisite the owner completes once during setup).</w:t>
      </w:r>
    </w:p>
    <w:p>
      <w:pPr>
        <w:pStyle w:val="ListParagraph"/>
        <w:numPr>
          <w:ilvl w:val="0"/>
          <w:numId w:val="7"/>
        </w:numPr>
        <w:spacing w:after="80"/>
      </w:pPr>
      <w:r>
        <w:t xml:space="preserve">Register a Meta developer app; submit for App Review for instagram_business_basic, instagram_business_content_publish, and the relevant messaging/comment permissions. Budget 2–4 weeks for review, and prepare the required screencast walkthroughs in advance — this is a real project-planning dependency, not a formality.</w:t>
      </w:r>
    </w:p>
    <w:p>
      <w:pPr>
        <w:pStyle w:val="ListParagraph"/>
        <w:numPr>
          <w:ilvl w:val="0"/>
          <w:numId w:val="7"/>
        </w:numPr>
        <w:spacing w:after="80"/>
      </w:pPr>
      <w:r>
        <w:t xml:space="preserve">Build the DM and comment webhook receivers first (read-side), since these don't require the content-publish permission and can be tested and demoed before publishing permission is approved.</w:t>
      </w:r>
    </w:p>
    <w:p>
      <w:pPr>
        <w:pStyle w:val="ListParagraph"/>
        <w:numPr>
          <w:ilvl w:val="0"/>
          <w:numId w:val="7"/>
        </w:numPr>
        <w:spacing w:after="80"/>
      </w:pPr>
      <w:r>
        <w:t xml:space="preserve">Respect the platform's automated-DM rate limit (200/hour per connected account) by queuing rather than dropping messages during traffic spikes.</w:t>
      </w:r>
    </w:p>
    <w:p>
      <w:pPr>
        <w:spacing w:after="150"/>
      </w:pPr>
      <w:r>
        <w:rPr>
          <w:b/>
          <w:bCs/>
        </w:rPr>
        <w:t xml:space="preserve">Tech stack: </w:t>
      </w:r>
      <w:r>
        <w:t xml:space="preserve">Meta Graph API SDK (or direct REST calls) via a thin Node.js/Python adapter service; a job queue (see Section 6) in front of it for rate-limit-safe delivery.</w:t>
      </w:r>
    </w:p>
    <w:p>
      <w:pPr>
        <w:spacing w:after="150"/>
      </w:pPr>
      <w:r>
        <w:rPr>
          <w:b/>
          <w:bCs/>
        </w:rPr>
        <w:t xml:space="preserve">Why: </w:t>
      </w:r>
      <w:r>
        <w:t xml:space="preserve">This is the only channel in Phase 1 with no per-message cost from the platform itself — the entire cost here is engineering and the app review lead time, which argues for starting this integration first, in parallel with the agent core, since its lead time is fixed and won't shrink by waiting.</w:t>
      </w:r>
    </w:p>
    <w:p>
      <w:pPr>
        <w:spacing w:after="150"/>
      </w:pPr>
      <w:r>
        <w:rPr>
          <w:b/>
          <w:bCs/>
        </w:rPr>
        <w:t xml:space="preserve">Failure modes to design for:</w:t>
      </w:r>
    </w:p>
    <w:p>
      <w:pPr>
        <w:pStyle w:val="ListParagraph"/>
        <w:numPr>
          <w:ilvl w:val="0"/>
          <w:numId w:val="5"/>
        </w:numPr>
        <w:spacing w:after="80"/>
      </w:pPr>
      <w:r>
        <w:t xml:space="preserve">App Review can request changes and add another cycle — do not treat the 2–4 week estimate as guaranteed</w:t>
      </w:r>
    </w:p>
    <w:p>
      <w:pPr>
        <w:pStyle w:val="ListParagraph"/>
        <w:numPr>
          <w:ilvl w:val="0"/>
          <w:numId w:val="5"/>
        </w:numPr>
        <w:spacing w:after="80"/>
      </w:pPr>
      <w:r>
        <w:t xml:space="preserve">Development-mode apps only work for test users listed in the Meta dashboard, so early internal testing (e.g., on the founder's own FitMe-style test account) should start before review completes</w:t>
      </w:r>
    </w:p>
    <w:p>
      <w:pPr>
        <w:spacing w:after="100"/>
      </w:pPr>
    </w:p>
    <w:p>
      <w:pPr>
        <w:pStyle w:val="Heading2"/>
        <w:spacing w:after="150" w:before="300"/>
      </w:pPr>
      <w:r>
        <w:t xml:space="preserve">5.2 WhatsApp</w:t>
      </w:r>
    </w:p>
    <w:p>
      <w:pPr>
        <w:pStyle w:val="Heading3"/>
        <w:spacing w:after="100" w:before="200"/>
      </w:pPr>
      <w:r>
        <w:t xml:space="preserve">Integration path</w:t>
      </w:r>
    </w:p>
    <w:p>
      <w:pPr>
        <w:spacing w:after="150"/>
      </w:pPr>
      <w:r>
        <w:rPr>
          <w:b/>
          <w:bCs/>
        </w:rPr>
        <w:t xml:space="preserve">Goal: </w:t>
      </w:r>
      <w:r>
        <w:t xml:space="preserve">Enable inbound reply automation and, later, proactive messaging, without becoming a Meta Business Solution Provider directly.</w:t>
      </w:r>
    </w:p>
    <w:p>
      <w:pPr>
        <w:spacing w:after="150"/>
      </w:pPr>
      <w:r>
        <w:rPr>
          <w:b/>
          <w:bCs/>
        </w:rPr>
        <w:t xml:space="preserve">Implementation approach:</w:t>
      </w:r>
    </w:p>
    <w:p>
      <w:pPr>
        <w:pStyle w:val="ListParagraph"/>
        <w:numPr>
          <w:ilvl w:val="0"/>
          <w:numId w:val="8"/>
        </w:numPr>
        <w:spacing w:after="80"/>
      </w:pPr>
      <w:r>
        <w:t xml:space="preserve">Integrate against an existing India-focused BSP's partner/reseller API (e.g., AiSensy, WATI, Interakt, Gupshup) rather than applying for Meta BSP status directly in Phase 1.</w:t>
      </w:r>
    </w:p>
    <w:p>
      <w:pPr>
        <w:pStyle w:val="ListParagraph"/>
        <w:numPr>
          <w:ilvl w:val="0"/>
          <w:numId w:val="8"/>
        </w:numPr>
        <w:spacing w:after="80"/>
      </w:pPr>
      <w:r>
        <w:t xml:space="preserve">Build the integration against the BSP's webhook (inbound) and send API (outbound) — this is a REST/webhook adapter, structurally identical in shape to the Instagram adapter, just a different provider's API contract.</w:t>
      </w:r>
    </w:p>
    <w:p>
      <w:pPr>
        <w:pStyle w:val="ListParagraph"/>
        <w:numPr>
          <w:ilvl w:val="0"/>
          <w:numId w:val="8"/>
        </w:numPr>
        <w:spacing w:after="80"/>
      </w:pPr>
      <w:r>
        <w:t xml:space="preserve">Route every inbound message through the same Agent Core router used for Instagram — there is no reason for WhatsApp to have separate decision logic.</w:t>
      </w:r>
    </w:p>
    <w:p>
      <w:pPr>
        <w:pStyle w:val="ListParagraph"/>
        <w:numPr>
          <w:ilvl w:val="0"/>
          <w:numId w:val="8"/>
        </w:numPr>
        <w:spacing w:after="80"/>
      </w:pPr>
      <w:r>
        <w:t xml:space="preserve">Track, per message, whether it falls inside a free 24-hour service window or is a paid outbound template, since this directly affects unit economics and needs to be visible in cost reporting from day one.</w:t>
      </w:r>
    </w:p>
    <w:p>
      <w:pPr>
        <w:spacing w:after="150"/>
      </w:pPr>
      <w:r>
        <w:rPr>
          <w:b/>
          <w:bCs/>
        </w:rPr>
        <w:t xml:space="preserve">Tech stack: </w:t>
      </w:r>
      <w:r>
        <w:t xml:space="preserve">BSP-provided REST/webhook API; same internal message schema and Agent Core as Instagram, so only the adapter layer differs.</w:t>
      </w:r>
    </w:p>
    <w:p>
      <w:pPr>
        <w:spacing w:after="150"/>
      </w:pPr>
      <w:r>
        <w:rPr>
          <w:b/>
          <w:bCs/>
        </w:rPr>
        <w:t xml:space="preserve">Why: </w:t>
      </w:r>
      <w:r>
        <w:t xml:space="preserve">Becoming a Meta BSP is a real option eventually, once volume justifies the compliance overhead — but it adds weeks of approval and ongoing obligations that don't serve a Phase 1 goal of proving the agent works.</w:t>
      </w:r>
    </w:p>
    <w:p>
      <w:pPr>
        <w:spacing w:after="150"/>
      </w:pPr>
      <w:r>
        <w:rPr>
          <w:b/>
          <w:bCs/>
        </w:rPr>
        <w:t xml:space="preserve">Failure modes to design for:</w:t>
      </w:r>
    </w:p>
    <w:p>
      <w:pPr>
        <w:pStyle w:val="ListParagraph"/>
        <w:numPr>
          <w:ilvl w:val="0"/>
          <w:numId w:val="5"/>
        </w:numPr>
        <w:spacing w:after="80"/>
      </w:pPr>
      <w:r>
        <w:t xml:space="preserve">From October 2026, Meta begins charging for AI-agent replies sent inside the previously-free 24-hour service window — this should be modeled as a real per-message cost in pricing, not treated as a one-time policy footnote</w:t>
      </w:r>
    </w:p>
    <w:p>
      <w:pPr>
        <w:pStyle w:val="ListParagraph"/>
        <w:numPr>
          <w:ilvl w:val="0"/>
          <w:numId w:val="5"/>
        </w:numPr>
        <w:spacing w:after="80"/>
      </w:pPr>
      <w:r>
        <w:t xml:space="preserve">BSP partner pricing and rate limits vary by provider — confirm the specific partner's terms before committing, since 'BSP' is not one uniform cost structure</w:t>
      </w:r>
    </w:p>
    <w:p>
      <w:pPr>
        <w:spacing w:after="100"/>
      </w:pPr>
    </w:p>
    <w:p>
      <w:pPr>
        <w:pStyle w:val="Heading2"/>
        <w:spacing w:after="150" w:before="300"/>
      </w:pPr>
      <w:r>
        <w:t xml:space="preserve">5.3 IndiaMART</w:t>
      </w:r>
    </w:p>
    <w:p>
      <w:pPr>
        <w:pStyle w:val="Heading3"/>
        <w:spacing w:after="100" w:before="200"/>
      </w:pPr>
      <w:r>
        <w:t xml:space="preserve">Integration path</w:t>
      </w:r>
    </w:p>
    <w:p>
      <w:pPr>
        <w:spacing w:after="150"/>
      </w:pPr>
      <w:r>
        <w:rPr>
          <w:b/>
          <w:bCs/>
        </w:rPr>
        <w:t xml:space="preserve">Goal: </w:t>
      </w:r>
      <w:r>
        <w:t xml:space="preserve">Pull B2B leads into the same Conversation/Customer data model used for Instagram and WhatsApp, without building any AI-reply logic yet (Phase 1 scope is capture and visibility, not agent-driven replies here).</w:t>
      </w:r>
    </w:p>
    <w:p>
      <w:pPr>
        <w:spacing w:after="150"/>
      </w:pPr>
      <w:r>
        <w:rPr>
          <w:b/>
          <w:bCs/>
        </w:rPr>
        <w:t xml:space="preserve">Implementation approach:</w:t>
      </w:r>
    </w:p>
    <w:p>
      <w:pPr>
        <w:pStyle w:val="ListParagraph"/>
        <w:numPr>
          <w:ilvl w:val="0"/>
          <w:numId w:val="9"/>
        </w:numPr>
        <w:spacing w:after="80"/>
      </w:pPr>
      <w:r>
        <w:t xml:space="preserve">During onboarding, guide the owner through generating their CRM key from seller.indiamart.com (a manual, one-time step per customer — this cannot be automated on IndiaMART's side).</w:t>
      </w:r>
    </w:p>
    <w:p>
      <w:pPr>
        <w:pStyle w:val="ListParagraph"/>
        <w:numPr>
          <w:ilvl w:val="0"/>
          <w:numId w:val="9"/>
        </w:numPr>
        <w:spacing w:after="80"/>
      </w:pPr>
      <w:r>
        <w:t xml:space="preserve">Integrate the Push API (real-time webhook) as the primary path, since it's the actively supported option; only fall back to Pull API polling if a given seller's account doesn't support Push.</w:t>
      </w:r>
    </w:p>
    <w:p>
      <w:pPr>
        <w:pStyle w:val="ListParagraph"/>
        <w:numPr>
          <w:ilvl w:val="0"/>
          <w:numId w:val="9"/>
        </w:numPr>
        <w:spacing w:after="80"/>
      </w:pPr>
      <w:r>
        <w:t xml:space="preserve">Normalize incoming leads into the same Customer/Conversation schema as other channels, tagged by source, so they appear in the same unified inbox and Customer 360 view rather than a separate silo.</w:t>
      </w:r>
    </w:p>
    <w:p>
      <w:pPr>
        <w:spacing w:after="150"/>
      </w:pPr>
      <w:r>
        <w:rPr>
          <w:b/>
          <w:bCs/>
        </w:rPr>
        <w:t xml:space="preserve">Tech stack: </w:t>
      </w:r>
      <w:r>
        <w:t xml:space="preserve">A webhook receiver endpoint per tenant, mapped to that business's stored IndiaMART credentials; same data layer as other channels.</w:t>
      </w:r>
    </w:p>
    <w:p>
      <w:pPr>
        <w:spacing w:after="150"/>
      </w:pPr>
      <w:r>
        <w:rPr>
          <w:b/>
          <w:bCs/>
        </w:rPr>
        <w:t xml:space="preserve">Why: </w:t>
      </w:r>
      <w:r>
        <w:t xml:space="preserve">IndiaMART's API is officially documented but explicitly DIY with no vendor support — budget integration testing time accordingly, and expect to write your own retry/error-handling since IndiaMART won't help debug failures.</w:t>
      </w:r>
    </w:p>
    <w:p>
      <w:pPr>
        <w:spacing w:after="150"/>
      </w:pPr>
      <w:r>
        <w:rPr>
          <w:b/>
          <w:bCs/>
        </w:rPr>
        <w:t xml:space="preserve">Failure modes to design for:</w:t>
      </w:r>
    </w:p>
    <w:p>
      <w:pPr>
        <w:pStyle w:val="ListParagraph"/>
        <w:numPr>
          <w:ilvl w:val="0"/>
          <w:numId w:val="5"/>
        </w:numPr>
        <w:spacing w:after="80"/>
      </w:pPr>
      <w:r>
        <w:t xml:space="preserve">Push API access requires the seller to be on a paid IndiaMART plan — free-tier sellers cannot provide this feed, which should be surfaced clearly during onboarding so expectations are set correctly</w:t>
      </w:r>
    </w:p>
    <w:p>
      <w:pPr>
        <w:pStyle w:val="ListParagraph"/>
        <w:numPr>
          <w:ilvl w:val="0"/>
          <w:numId w:val="5"/>
        </w:numPr>
        <w:spacing w:after="80"/>
      </w:pPr>
      <w:r>
        <w:t xml:space="preserve">Per-tenant credentials mean a credential can be revoked or expire without warning on IndiaMART's side — build a simple health check that flags a broken IndiaMART connection to the owner rather than failing silently</w:t>
      </w:r>
    </w:p>
    <w:p>
      <w:pPr>
        <w:spacing w:after="100"/>
      </w:pPr>
    </w:p>
    <w:p>
      <w:pPr>
        <w:pStyle w:val="Heading1"/>
        <w:spacing w:after="200" w:before="400"/>
      </w:pPr>
      <w:r>
        <w:t xml:space="preserve">6. Supporting Infrastructure</w:t>
      </w:r>
    </w:p>
    <w:p>
      <w:pPr>
        <w:pStyle w:val="Heading2"/>
        <w:spacing w:after="150" w:before="300"/>
      </w:pPr>
      <w:r>
        <w:t xml:space="preserve">6.1 Recommended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c>
          <w:tcPr>
            <w:tcW w:type="dxa" w:w="2400"/>
            <w:shd w:fill="2F5496" w:val="clear"/>
            <w:tcMar>
              <w:top w:type="dxa" w:w="100"/>
              <w:left w:type="dxa" w:w="120"/>
              <w:bottom w:type="dxa" w:w="100"/>
              <w:right w:type="dxa" w:w="120"/>
            </w:tcMar>
          </w:tcPr>
          <w:p>
            <w:r>
              <w:rPr>
                <w:b/>
                <w:bCs/>
                <w:color w:val="FFFFFF"/>
              </w:rPr>
              <w:t xml:space="preserve">Layer</w:t>
            </w:r>
          </w:p>
        </w:tc>
        <w:tc>
          <w:tcPr>
            <w:tcW w:type="dxa" w:w="3400"/>
            <w:shd w:fill="2F5496" w:val="clear"/>
            <w:tcMar>
              <w:top w:type="dxa" w:w="100"/>
              <w:left w:type="dxa" w:w="120"/>
              <w:bottom w:type="dxa" w:w="100"/>
              <w:right w:type="dxa" w:w="120"/>
            </w:tcMar>
          </w:tcPr>
          <w:p>
            <w:r>
              <w:rPr>
                <w:b/>
                <w:bCs/>
                <w:color w:val="FFFFFF"/>
              </w:rPr>
              <w:t xml:space="preserve">Recommendation</w:t>
            </w:r>
          </w:p>
        </w:tc>
        <w:tc>
          <w:tcPr>
            <w:tcW w:type="dxa" w:w="3700"/>
            <w:shd w:fill="2F5496" w:val="clear"/>
            <w:tcMar>
              <w:top w:type="dxa" w:w="100"/>
              <w:left w:type="dxa" w:w="120"/>
              <w:bottom w:type="dxa" w:w="100"/>
              <w:right w:type="dxa" w:w="120"/>
            </w:tcMar>
          </w:tcPr>
          <w:p>
            <w:r>
              <w:rPr>
                <w:b/>
                <w:bCs/>
                <w:color w:val="FFFFFF"/>
              </w:rPr>
              <w:t xml:space="preserve">Reasoning</w:t>
            </w:r>
          </w:p>
        </w:tc>
      </w:tr>
      <w:tr>
        <w:tc>
          <w:tcPr>
            <w:tcW w:type="dxa" w:w="2400"/>
            <w:tcMar>
              <w:top w:type="dxa" w:w="100"/>
              <w:left w:type="dxa" w:w="120"/>
              <w:bottom w:type="dxa" w:w="100"/>
              <w:right w:type="dxa" w:w="120"/>
            </w:tcMar>
          </w:tcPr>
          <w:p>
            <w:r>
              <w:rPr>
                <w:b w:val="false"/>
                <w:bCs w:val="false"/>
                <w:color w:val="000000"/>
              </w:rPr>
              <w:t xml:space="preserve">Channel adapters &amp; API layer</w:t>
            </w:r>
          </w:p>
        </w:tc>
        <w:tc>
          <w:tcPr>
            <w:tcW w:type="dxa" w:w="3400"/>
            <w:tcMar>
              <w:top w:type="dxa" w:w="100"/>
              <w:left w:type="dxa" w:w="120"/>
              <w:bottom w:type="dxa" w:w="100"/>
              <w:right w:type="dxa" w:w="120"/>
            </w:tcMar>
          </w:tcPr>
          <w:p>
            <w:r>
              <w:rPr>
                <w:b w:val="false"/>
                <w:bCs w:val="false"/>
                <w:color w:val="000000"/>
              </w:rPr>
              <w:t xml:space="preserve">Node.js (TypeScript) services, one per channel</w:t>
            </w:r>
          </w:p>
        </w:tc>
        <w:tc>
          <w:tcPr>
            <w:tcW w:type="dxa" w:w="3700"/>
            <w:tcMar>
              <w:top w:type="dxa" w:w="100"/>
              <w:left w:type="dxa" w:w="120"/>
              <w:bottom w:type="dxa" w:w="100"/>
              <w:right w:type="dxa" w:w="120"/>
            </w:tcMar>
          </w:tcPr>
          <w:p>
            <w:r>
              <w:rPr>
                <w:b w:val="false"/>
                <w:bCs w:val="false"/>
                <w:color w:val="000000"/>
              </w:rPr>
              <w:t xml:space="preserve">Best-supported SDKs/community tooling for Meta Graph API and most BSP APIs; async I/O suits webhook-heavy workloads</w:t>
            </w:r>
          </w:p>
        </w:tc>
      </w:tr>
      <w:tr>
        <w:tc>
          <w:tcPr>
            <w:tcW w:type="dxa" w:w="2400"/>
            <w:tcMar>
              <w:top w:type="dxa" w:w="100"/>
              <w:left w:type="dxa" w:w="120"/>
              <w:bottom w:type="dxa" w:w="100"/>
              <w:right w:type="dxa" w:w="120"/>
            </w:tcMar>
          </w:tcPr>
          <w:p>
            <w:r>
              <w:rPr>
                <w:b w:val="false"/>
                <w:bCs w:val="false"/>
                <w:color w:val="000000"/>
              </w:rPr>
              <w:t xml:space="preserve">Agent Core / router</w:t>
            </w:r>
          </w:p>
        </w:tc>
        <w:tc>
          <w:tcPr>
            <w:tcW w:type="dxa" w:w="3400"/>
            <w:tcMar>
              <w:top w:type="dxa" w:w="100"/>
              <w:left w:type="dxa" w:w="120"/>
              <w:bottom w:type="dxa" w:w="100"/>
              <w:right w:type="dxa" w:w="120"/>
            </w:tcMar>
          </w:tcPr>
          <w:p>
            <w:r>
              <w:rPr>
                <w:b w:val="false"/>
                <w:bCs w:val="false"/>
                <w:color w:val="000000"/>
              </w:rPr>
              <w:t xml:space="preserve">Python service, orchestrating LLM calls</w:t>
            </w:r>
          </w:p>
        </w:tc>
        <w:tc>
          <w:tcPr>
            <w:tcW w:type="dxa" w:w="3700"/>
            <w:tcMar>
              <w:top w:type="dxa" w:w="100"/>
              <w:left w:type="dxa" w:w="120"/>
              <w:bottom w:type="dxa" w:w="100"/>
              <w:right w:type="dxa" w:w="120"/>
            </w:tcMar>
          </w:tcPr>
          <w:p>
            <w:r>
              <w:rPr>
                <w:b w:val="false"/>
                <w:bCs w:val="false"/>
                <w:color w:val="000000"/>
              </w:rPr>
              <w:t xml:space="preserve">Strongest ecosystem for LLM orchestration, prompt/eval tooling, and future ML work (e.g., learning cross-sell pairs from order history)</w:t>
            </w:r>
          </w:p>
        </w:tc>
      </w:tr>
      <w:tr>
        <w:tc>
          <w:tcPr>
            <w:tcW w:type="dxa" w:w="2400"/>
            <w:tcMar>
              <w:top w:type="dxa" w:w="100"/>
              <w:left w:type="dxa" w:w="120"/>
              <w:bottom w:type="dxa" w:w="100"/>
              <w:right w:type="dxa" w:w="120"/>
            </w:tcMar>
          </w:tcPr>
          <w:p>
            <w:r>
              <w:rPr>
                <w:b w:val="false"/>
                <w:bCs w:val="false"/>
                <w:color w:val="000000"/>
              </w:rPr>
              <w:t xml:space="preserve">LLM usage</w:t>
            </w:r>
          </w:p>
        </w:tc>
        <w:tc>
          <w:tcPr>
            <w:tcW w:type="dxa" w:w="3400"/>
            <w:tcMar>
              <w:top w:type="dxa" w:w="100"/>
              <w:left w:type="dxa" w:w="120"/>
              <w:bottom w:type="dxa" w:w="100"/>
              <w:right w:type="dxa" w:w="120"/>
            </w:tcMar>
          </w:tcPr>
          <w:p>
            <w:r>
              <w:rPr>
                <w:b w:val="false"/>
                <w:bCs w:val="false"/>
                <w:color w:val="000000"/>
              </w:rPr>
              <w:t xml:space="preserve">Tiered: a small/cheap model for the router and routine FAQ/inventory replies; a stronger model reserved for drafting captions and handling flagged/ambiguous cases</w:t>
            </w:r>
          </w:p>
        </w:tc>
        <w:tc>
          <w:tcPr>
            <w:tcW w:type="dxa" w:w="3700"/>
            <w:tcMar>
              <w:top w:type="dxa" w:w="100"/>
              <w:left w:type="dxa" w:w="120"/>
              <w:bottom w:type="dxa" w:w="100"/>
              <w:right w:type="dxa" w:w="120"/>
            </w:tcMar>
          </w:tcPr>
          <w:p>
            <w:r>
              <w:rPr>
                <w:b w:val="false"/>
                <w:bCs w:val="false"/>
                <w:color w:val="000000"/>
              </w:rPr>
              <w:t xml:space="preserve">The router runs on every message — cost compounds fast if it's expensive; caption drafting and edge cases are low-volume, so a stronger model there barely affects overall cost</w:t>
            </w:r>
          </w:p>
        </w:tc>
      </w:tr>
      <w:tr>
        <w:tc>
          <w:tcPr>
            <w:tcW w:type="dxa" w:w="2400"/>
            <w:tcMar>
              <w:top w:type="dxa" w:w="100"/>
              <w:left w:type="dxa" w:w="120"/>
              <w:bottom w:type="dxa" w:w="100"/>
              <w:right w:type="dxa" w:w="120"/>
            </w:tcMar>
          </w:tcPr>
          <w:p>
            <w:r>
              <w:rPr>
                <w:b w:val="false"/>
                <w:bCs w:val="false"/>
                <w:color w:val="000000"/>
              </w:rPr>
              <w:t xml:space="preserve">Database</w:t>
            </w:r>
          </w:p>
        </w:tc>
        <w:tc>
          <w:tcPr>
            <w:tcW w:type="dxa" w:w="3400"/>
            <w:tcMar>
              <w:top w:type="dxa" w:w="100"/>
              <w:left w:type="dxa" w:w="120"/>
              <w:bottom w:type="dxa" w:w="100"/>
              <w:right w:type="dxa" w:w="120"/>
            </w:tcMar>
          </w:tcPr>
          <w:p>
            <w:r>
              <w:rPr>
                <w:b w:val="false"/>
                <w:bCs w:val="false"/>
                <w:color w:val="000000"/>
              </w:rPr>
              <w:t xml:space="preserve">PostgreSQL</w:t>
            </w:r>
          </w:p>
        </w:tc>
        <w:tc>
          <w:tcPr>
            <w:tcW w:type="dxa" w:w="3700"/>
            <w:tcMar>
              <w:top w:type="dxa" w:w="100"/>
              <w:left w:type="dxa" w:w="120"/>
              <w:bottom w:type="dxa" w:w="100"/>
              <w:right w:type="dxa" w:w="120"/>
            </w:tcMar>
          </w:tcPr>
          <w:p>
            <w:r>
              <w:rPr>
                <w:b w:val="false"/>
                <w:bCs w:val="false"/>
                <w:color w:val="000000"/>
              </w:rPr>
              <w:t xml:space="preserve">Relational integrity matters here (orders linking to products linking to stock counts) more than flexible schema-less storage; mature, cheap to self-host or run managed</w:t>
            </w:r>
          </w:p>
        </w:tc>
      </w:tr>
      <w:tr>
        <w:tc>
          <w:tcPr>
            <w:tcW w:type="dxa" w:w="2400"/>
            <w:tcMar>
              <w:top w:type="dxa" w:w="100"/>
              <w:left w:type="dxa" w:w="120"/>
              <w:bottom w:type="dxa" w:w="100"/>
              <w:right w:type="dxa" w:w="120"/>
            </w:tcMar>
          </w:tcPr>
          <w:p>
            <w:r>
              <w:rPr>
                <w:b w:val="false"/>
                <w:bCs w:val="false"/>
                <w:color w:val="000000"/>
              </w:rPr>
              <w:t xml:space="preserve">Job queue (for webhook processing, rate-limit-safe sends)</w:t>
            </w:r>
          </w:p>
        </w:tc>
        <w:tc>
          <w:tcPr>
            <w:tcW w:type="dxa" w:w="3400"/>
            <w:tcMar>
              <w:top w:type="dxa" w:w="100"/>
              <w:left w:type="dxa" w:w="120"/>
              <w:bottom w:type="dxa" w:w="100"/>
              <w:right w:type="dxa" w:w="120"/>
            </w:tcMar>
          </w:tcPr>
          <w:p>
            <w:r>
              <w:rPr>
                <w:b w:val="false"/>
                <w:bCs w:val="false"/>
                <w:color w:val="000000"/>
              </w:rPr>
              <w:t xml:space="preserve">Redis-backed queue (e.g., BullMQ)</w:t>
            </w:r>
          </w:p>
        </w:tc>
        <w:tc>
          <w:tcPr>
            <w:tcW w:type="dxa" w:w="3700"/>
            <w:tcMar>
              <w:top w:type="dxa" w:w="100"/>
              <w:left w:type="dxa" w:w="120"/>
              <w:bottom w:type="dxa" w:w="100"/>
              <w:right w:type="dxa" w:w="120"/>
            </w:tcMar>
          </w:tcPr>
          <w:p>
            <w:r>
              <w:rPr>
                <w:b w:val="false"/>
                <w:bCs w:val="false"/>
                <w:color w:val="000000"/>
              </w:rPr>
              <w:t xml:space="preserve">Needed to respect Instagram's 200/hour DM cap and to avoid losing messages during traffic spikes or provider downtime</w:t>
            </w:r>
          </w:p>
        </w:tc>
      </w:tr>
      <w:tr>
        <w:tc>
          <w:tcPr>
            <w:tcW w:type="dxa" w:w="2400"/>
            <w:tcMar>
              <w:top w:type="dxa" w:w="100"/>
              <w:left w:type="dxa" w:w="120"/>
              <w:bottom w:type="dxa" w:w="100"/>
              <w:right w:type="dxa" w:w="120"/>
            </w:tcMar>
          </w:tcPr>
          <w:p>
            <w:r>
              <w:rPr>
                <w:b w:val="false"/>
                <w:bCs w:val="false"/>
                <w:color w:val="000000"/>
              </w:rPr>
              <w:t xml:space="preserve">Mobile apps (Inventory, Delivery, Order tracking)</w:t>
            </w:r>
          </w:p>
        </w:tc>
        <w:tc>
          <w:tcPr>
            <w:tcW w:type="dxa" w:w="3400"/>
            <w:tcMar>
              <w:top w:type="dxa" w:w="100"/>
              <w:left w:type="dxa" w:w="120"/>
              <w:bottom w:type="dxa" w:w="100"/>
              <w:right w:type="dxa" w:w="120"/>
            </w:tcMar>
          </w:tcPr>
          <w:p>
            <w:r>
              <w:rPr>
                <w:b w:val="false"/>
                <w:bCs w:val="false"/>
                <w:color w:val="000000"/>
              </w:rPr>
              <w:t xml:space="preserve">A single cross-platform app (e.g., React Native or Flutter) rather than three separate native apps</w:t>
            </w:r>
          </w:p>
        </w:tc>
        <w:tc>
          <w:tcPr>
            <w:tcW w:type="dxa" w:w="3700"/>
            <w:tcMar>
              <w:top w:type="dxa" w:w="100"/>
              <w:left w:type="dxa" w:w="120"/>
              <w:bottom w:type="dxa" w:w="100"/>
              <w:right w:type="dxa" w:w="120"/>
            </w:tcMar>
          </w:tcPr>
          <w:p>
            <w:r>
              <w:rPr>
                <w:b w:val="false"/>
                <w:bCs w:val="false"/>
                <w:color w:val="000000"/>
              </w:rPr>
              <w:t xml:space="preserve">Phase 1 has one owner-operator persona across all three tools; a single shared app with different tabs/screens is far cheaper to build and maintain than three separate codebases</w:t>
            </w:r>
          </w:p>
        </w:tc>
      </w:tr>
      <w:tr>
        <w:tc>
          <w:tcPr>
            <w:tcW w:type="dxa" w:w="2400"/>
            <w:tcMar>
              <w:top w:type="dxa" w:w="100"/>
              <w:left w:type="dxa" w:w="120"/>
              <w:bottom w:type="dxa" w:w="100"/>
              <w:right w:type="dxa" w:w="120"/>
            </w:tcMar>
          </w:tcPr>
          <w:p>
            <w:r>
              <w:rPr>
                <w:b w:val="false"/>
                <w:bCs w:val="false"/>
                <w:color w:val="000000"/>
              </w:rPr>
              <w:t xml:space="preserve">Dashboard</w:t>
            </w:r>
          </w:p>
        </w:tc>
        <w:tc>
          <w:tcPr>
            <w:tcW w:type="dxa" w:w="3400"/>
            <w:tcMar>
              <w:top w:type="dxa" w:w="100"/>
              <w:left w:type="dxa" w:w="120"/>
              <w:bottom w:type="dxa" w:w="100"/>
              <w:right w:type="dxa" w:w="120"/>
            </w:tcMar>
          </w:tcPr>
          <w:p>
            <w:r>
              <w:rPr>
                <w:b w:val="false"/>
                <w:bCs w:val="false"/>
                <w:color w:val="000000"/>
              </w:rPr>
              <w:t xml:space="preserve">Web app, mobile-responsive, sharing the same backend APIs as the mobile app</w:t>
            </w:r>
          </w:p>
        </w:tc>
        <w:tc>
          <w:tcPr>
            <w:tcW w:type="dxa" w:w="3700"/>
            <w:tcMar>
              <w:top w:type="dxa" w:w="100"/>
              <w:left w:type="dxa" w:w="120"/>
              <w:bottom w:type="dxa" w:w="100"/>
              <w:right w:type="dxa" w:w="120"/>
            </w:tcMar>
          </w:tcPr>
          <w:p>
            <w:r>
              <w:rPr>
                <w:b w:val="false"/>
                <w:bCs w:val="false"/>
                <w:color w:val="000000"/>
              </w:rPr>
              <w:t xml:space="preserve">Owner primarily checks this on a phone per the business documentation, but a browser-accessible view avoids forcing an app install for occasional deeper reporting</w:t>
            </w:r>
          </w:p>
        </w:tc>
      </w:tr>
      <w:tr>
        <w:tc>
          <w:tcPr>
            <w:tcW w:type="dxa" w:w="2400"/>
            <w:tcMar>
              <w:top w:type="dxa" w:w="100"/>
              <w:left w:type="dxa" w:w="120"/>
              <w:bottom w:type="dxa" w:w="100"/>
              <w:right w:type="dxa" w:w="120"/>
            </w:tcMar>
          </w:tcPr>
          <w:p>
            <w:r>
              <w:rPr>
                <w:b w:val="false"/>
                <w:bCs w:val="false"/>
                <w:color w:val="000000"/>
              </w:rPr>
              <w:t xml:space="preserve">Hosting</w:t>
            </w:r>
          </w:p>
        </w:tc>
        <w:tc>
          <w:tcPr>
            <w:tcW w:type="dxa" w:w="3400"/>
            <w:tcMar>
              <w:top w:type="dxa" w:w="100"/>
              <w:left w:type="dxa" w:w="120"/>
              <w:bottom w:type="dxa" w:w="100"/>
              <w:right w:type="dxa" w:w="120"/>
            </w:tcMar>
          </w:tcPr>
          <w:p>
            <w:r>
              <w:rPr>
                <w:b w:val="false"/>
                <w:bCs w:val="false"/>
                <w:color w:val="000000"/>
              </w:rPr>
              <w:t xml:space="preserve">A managed cloud platform with pay-as-you-go pricing (e.g., a single low-cost VPS or managed container service to start)</w:t>
            </w:r>
          </w:p>
        </w:tc>
        <w:tc>
          <w:tcPr>
            <w:tcW w:type="dxa" w:w="3700"/>
            <w:tcMar>
              <w:top w:type="dxa" w:w="100"/>
              <w:left w:type="dxa" w:w="120"/>
              <w:bottom w:type="dxa" w:w="100"/>
              <w:right w:type="dxa" w:w="120"/>
            </w:tcMar>
          </w:tcPr>
          <w:p>
            <w:r>
              <w:rPr>
                <w:b w:val="false"/>
                <w:bCs w:val="false"/>
                <w:color w:val="000000"/>
              </w:rPr>
              <w:t xml:space="preserve">Phase 1 traffic (single-digit to low-tens of pilot businesses) does not justify complex, expensive infrastructure — over-building infra before the agent's reliability is proven is the more likely way to waste money here</w:t>
            </w:r>
          </w:p>
        </w:tc>
      </w:tr>
    </w:tbl>
    <w:p>
      <w:pPr>
        <w:pStyle w:val="Heading2"/>
        <w:spacing w:after="150" w:before="300"/>
      </w:pPr>
      <w:r>
        <w:t xml:space="preserve">6.2 Cost Control Principles</w:t>
      </w:r>
    </w:p>
    <w:p>
      <w:pPr>
        <w:pStyle w:val="ListParagraph"/>
        <w:numPr>
          <w:ilvl w:val="0"/>
          <w:numId w:val="5"/>
        </w:numPr>
        <w:spacing w:after="80"/>
      </w:pPr>
      <w:r>
        <w:t xml:space="preserve">Route the router/classification step (Section 4.1) to the cheapest capable model — it runs on every message, so its per-call cost multiplies by total volume more than any other component.</w:t>
      </w:r>
    </w:p>
    <w:p>
      <w:pPr>
        <w:pStyle w:val="ListParagraph"/>
        <w:numPr>
          <w:ilvl w:val="0"/>
          <w:numId w:val="5"/>
        </w:numPr>
        <w:spacing w:after="80"/>
      </w:pPr>
      <w:r>
        <w:t xml:space="preserve">Cache and reuse FAQ answers where the underlying content hasn't changed, rather than re-generating from the model on every identical question.</w:t>
      </w:r>
    </w:p>
    <w:p>
      <w:pPr>
        <w:pStyle w:val="ListParagraph"/>
        <w:numPr>
          <w:ilvl w:val="0"/>
          <w:numId w:val="5"/>
        </w:numPr>
        <w:spacing w:after="80"/>
      </w:pPr>
      <w:r>
        <w:t xml:space="preserve">Model WhatsApp AI-reply costs from Q4 2026 onward as a real per-message line item in customer pricing, not as free infrastructure — this is the single most likely place a cost assumption made today goes stale.</w:t>
      </w:r>
    </w:p>
    <w:p>
      <w:pPr>
        <w:pStyle w:val="ListParagraph"/>
        <w:numPr>
          <w:ilvl w:val="0"/>
          <w:numId w:val="5"/>
        </w:numPr>
        <w:spacing w:after="80"/>
      </w:pPr>
      <w:r>
        <w:t xml:space="preserve">Treat IndiaMART/TradeIndia integration cost as a one-time per-tenant onboarding effort, not a recurring API cost — the expense here is support time, not infrastructure.</w:t>
      </w:r>
    </w:p>
    <w:p>
      <w:pPr>
        <w:pStyle w:val="Heading2"/>
        <w:spacing w:after="150" w:before="300"/>
      </w:pPr>
      <w:r>
        <w:t xml:space="preserve">6.3 Build Sequencing Recommendation</w:t>
      </w:r>
    </w:p>
    <w:p>
      <w:pPr>
        <w:spacing w:after="150"/>
      </w:pPr>
      <w:r>
        <w:t xml:space="preserve">Matches the phased rollout in the business documentation, with technical dependencies made explicit:</w:t>
      </w:r>
    </w:p>
    <w:p>
      <w:pPr>
        <w:pStyle w:val="ListParagraph"/>
        <w:numPr>
          <w:ilvl w:val="0"/>
          <w:numId w:val="10"/>
        </w:numPr>
        <w:spacing w:after="80"/>
      </w:pPr>
      <w:r>
        <w:t xml:space="preserve">Data model + Inventory mobile app (photo + title capture) — nothing else can be honestly tested without real product data behind it.</w:t>
      </w:r>
    </w:p>
    <w:p>
      <w:pPr>
        <w:pStyle w:val="ListParagraph"/>
        <w:numPr>
          <w:ilvl w:val="0"/>
          <w:numId w:val="10"/>
        </w:numPr>
        <w:spacing w:after="80"/>
      </w:pPr>
      <w:r>
        <w:t xml:space="preserve">Instagram adapter (read-side: DMs + comments) in parallel with Meta App Review submission, since review lead time is fixed and shouldn't block other work.</w:t>
      </w:r>
    </w:p>
    <w:p>
      <w:pPr>
        <w:pStyle w:val="ListParagraph"/>
        <w:numPr>
          <w:ilvl w:val="0"/>
          <w:numId w:val="10"/>
        </w:numPr>
        <w:spacing w:after="80"/>
      </w:pPr>
      <w:r>
        <w:t xml:space="preserve">Agent Core router + Inventory-Grounded Reply skill, tested end-to-end against the Instagram adapter first.</w:t>
      </w:r>
    </w:p>
    <w:p>
      <w:pPr>
        <w:pStyle w:val="ListParagraph"/>
        <w:numPr>
          <w:ilvl w:val="0"/>
          <w:numId w:val="10"/>
        </w:numPr>
        <w:spacing w:after="80"/>
      </w:pPr>
      <w:r>
        <w:t xml:space="preserve">Comment-to-DM and Guided Ordering skills, once basic replies are reliable.</w:t>
      </w:r>
    </w:p>
    <w:p>
      <w:pPr>
        <w:pStyle w:val="ListParagraph"/>
        <w:numPr>
          <w:ilvl w:val="0"/>
          <w:numId w:val="10"/>
        </w:numPr>
        <w:spacing w:after="80"/>
      </w:pPr>
      <w:r>
        <w:t xml:space="preserve">Cross-sell skill, once enough real order history exists to make suggestions meaningful.</w:t>
      </w:r>
    </w:p>
    <w:p>
      <w:pPr>
        <w:pStyle w:val="ListParagraph"/>
        <w:numPr>
          <w:ilvl w:val="0"/>
          <w:numId w:val="10"/>
        </w:numPr>
        <w:spacing w:after="80"/>
      </w:pPr>
      <w:r>
        <w:t xml:space="preserve">WhatsApp adapter via a chosen BSP, reusing the same Agent Core with no new decision logic.</w:t>
      </w:r>
    </w:p>
    <w:p>
      <w:pPr>
        <w:pStyle w:val="ListParagraph"/>
        <w:numPr>
          <w:ilvl w:val="0"/>
          <w:numId w:val="10"/>
        </w:numPr>
        <w:spacing w:after="80"/>
      </w:pPr>
      <w:r>
        <w:t xml:space="preserve">IndiaMART lead capture (no AI reply yet) into the same unified inbox.</w:t>
      </w:r>
    </w:p>
    <w:p>
      <w:pPr>
        <w:pStyle w:val="ListParagraph"/>
        <w:numPr>
          <w:ilvl w:val="0"/>
          <w:numId w:val="10"/>
        </w:numPr>
        <w:spacing w:after="80"/>
      </w:pPr>
      <w:r>
        <w:t xml:space="preserve">Business Dashboard, last — it has nothing to show until the above are producing real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2026-08-26T11:43:16.438Z</dcterms:created>
  <dcterms:modified xsi:type="dcterms:W3CDTF">2026-08-26T11:43:16.438Z</dcterms:modified>
</cp:coreProperties>
</file>

<file path=docProps/custom.xml><?xml version="1.0" encoding="utf-8"?>
<Properties xmlns="http://schemas.openxmlformats.org/officeDocument/2006/custom-properties" xmlns:vt="http://schemas.openxmlformats.org/officeDocument/2006/docPropsVTypes"/>
</file>