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>
          <w:rFonts w:ascii="Microsoft JhengHei" w:cs="Microsoft JhengHei" w:eastAsia="Microsoft JhengHei" w:hAnsi="Microsoft JhengHei"/>
        </w:rPr>
      </w:pPr>
      <w:bookmarkStart w:colFirst="0" w:colLast="0" w:name="_t8gk0amm3d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a1a1a"/>
          <w:sz w:val="48"/>
          <w:szCs w:val="48"/>
          <w:rtl w:val="0"/>
        </w:rPr>
        <w:t xml:space="preserve">Sales &amp; Customer Engagement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One system that connects to Tally, handles every customer enquiry automatically, and lets the team run targeted campaigns to customers — all from one dashboard.</w:t>
      </w:r>
    </w:p>
    <w:p w:rsidR="00000000" w:rsidDel="00000000" w:rsidP="00000000" w:rsidRDefault="00000000" w:rsidRPr="00000000" w14:paraId="00000006">
      <w:pPr>
        <w:spacing w:after="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rtl w:val="0"/>
              </w:rPr>
              <w:t xml:space="preserve">Customer Database &amp;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years of sales data (2015–2026) migrated, cleaned and in one place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 customer on one screen — history, orders, outstanding payments, last contact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Customers automatically tiered (A/B/C) so the team knows who the big ones are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data stays in sync with Tally — no double entry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rtl w:val="0"/>
              </w:rPr>
              <w:t xml:space="preserve">Reports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Daily, weekly and monthly reports — sales, products, geography, seasonality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analysis: who’s active, who’s gone quiet, who’s at risk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Margin tracking — landed cost vs selling price (useful as import cost shifts with the dollar)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Overdue payments screen with aging breakdown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 report downloadable as Excel</w:t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rtl w:val="0"/>
              </w:rPr>
              <w:t xml:space="preserve">Leads &amp; 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enquiries from IndiaMART, TradeIndia and the Maharashtra portal auto-captured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Each new lead gets an instant WhatsApp + email with the catalogue and video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agent handles the chat — answers questions, checks stock, sends a quote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Below a set value: agent takes it through to payment on its own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Above that value: agent hands off to a salesperson with full context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 customers are recognised automatically when they enquire</w:t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rtl w:val="0"/>
              </w:rPr>
              <w:t xml:space="preserve">Campaigns (employee-controlled)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 drops: staff see the suggested customer list and choose who to notify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Seasonal: system flags upcoming season + relevant customers, staff shoot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Win-back: customers who haven’t bought in N days are flagged for re-engagement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 nudges: overdue customers get automatic reminders; aging screen for the team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messaging system behind all of this — no customer gets multiple campaigns at once</w:t>
            </w:r>
          </w:p>
        </w:tc>
      </w:tr>
    </w:tbl>
    <w:p w:rsidR="00000000" w:rsidDel="00000000" w:rsidP="00000000" w:rsidRDefault="00000000" w:rsidRPr="00000000" w14:paraId="00000022">
      <w:pPr>
        <w:spacing w:after="12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Staff: run campaigns, update prices, tag products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80" w:right="0" w:hanging="26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Owner: full view across everything</w:t>
            </w:r>
          </w:p>
        </w:tc>
      </w:tr>
    </w:tbl>
    <w:p w:rsidR="00000000" w:rsidDel="00000000" w:rsidP="00000000" w:rsidRDefault="00000000" w:rsidRPr="00000000" w14:paraId="00000026">
      <w:pPr>
        <w:spacing w:after="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dceaf5" w:space="4" w:sz="6" w:val="single"/>
        </w:pBd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How It Ships</w:t>
      </w:r>
    </w:p>
    <w:p w:rsidR="00000000" w:rsidDel="00000000" w:rsidP="00000000" w:rsidRDefault="00000000" w:rsidRPr="00000000" w14:paraId="00000029">
      <w:pPr>
        <w:spacing w:after="1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Three phases — each one ships as a working product, not a work-in-progress.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60"/>
        <w:gridCol w:w="3800"/>
        <w:tblGridChange w:id="0">
          <w:tblGrid>
            <w:gridCol w:w="2000"/>
            <w:gridCol w:w="35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What's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6fb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gives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Customer database, CRM, profiling, reports &amp;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All customers + 11 years of data visible in one place. Useful from day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Lead capture, AI agent,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Portal enquiries handled automatically, through to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Price-drop alerts, seasonal nudges, win-back, payment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Full campaign engine switched on for the customer 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60" w:top="126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 xml:space="preserve"> of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b w:val="1"/>
        <w:bCs w:val="1"/>
        <w:color w:val="1f6fb2"/>
        <w:sz w:val="18"/>
        <w:szCs w:val="18"/>
        <w:rtl w:val="0"/>
      </w:rPr>
      <w:t xml:space="preserve">BloomEx LLP</w:t>
    </w:r>
    <w:r w:rsidDel="00000000" w:rsidR="00000000" w:rsidRPr="00000000">
      <w:rPr>
        <w:color w:val="666666"/>
        <w:sz w:val="18"/>
        <w:szCs w:val="18"/>
        <w:rtl w:val="0"/>
      </w:rPr>
      <w:t xml:space="preserve">   —   Sales &amp; Customer Engagement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6fb2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