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BD0" w:rsidRPr="00AF54A8" w:rsidRDefault="00AF54A8" w:rsidP="00B65BD0">
      <w:pPr>
        <w:jc w:val="center"/>
        <w:rPr>
          <w:rFonts w:ascii="Times New Roman" w:hAnsi="Times New Roman" w:cs="Times New Roman"/>
          <w:b/>
          <w:sz w:val="44"/>
          <w:szCs w:val="40"/>
        </w:rPr>
      </w:pPr>
      <w:r w:rsidRPr="00AF54A8">
        <w:rPr>
          <w:rFonts w:ascii="Times New Roman" w:hAnsi="Times New Roman" w:cs="Times New Roman"/>
          <w:b/>
          <w:sz w:val="44"/>
          <w:szCs w:val="40"/>
        </w:rPr>
        <w:t>COVID-19 GLOBAL DATA ANALYSIS</w:t>
      </w:r>
    </w:p>
    <w:p w:rsidR="00B65BD0" w:rsidRPr="00AF54A8" w:rsidRDefault="00AF54A8" w:rsidP="00B65BD0">
      <w:pPr>
        <w:jc w:val="center"/>
        <w:rPr>
          <w:rFonts w:ascii="Times New Roman" w:hAnsi="Times New Roman" w:cs="Times New Roman"/>
          <w:b/>
          <w:sz w:val="44"/>
          <w:szCs w:val="40"/>
        </w:rPr>
      </w:pPr>
      <w:r w:rsidRPr="00AF54A8">
        <w:rPr>
          <w:rFonts w:ascii="Times New Roman" w:hAnsi="Times New Roman" w:cs="Times New Roman"/>
          <w:b/>
          <w:sz w:val="44"/>
          <w:szCs w:val="40"/>
        </w:rPr>
        <w:t>&amp; ETL PIPELINE</w:t>
      </w:r>
    </w:p>
    <w:p w:rsidR="00B65BD0" w:rsidRDefault="00B65BD0" w:rsidP="00B65BD0">
      <w:pPr>
        <w:jc w:val="center"/>
        <w:rPr>
          <w:rFonts w:ascii="Times New Roman" w:hAnsi="Times New Roman" w:cs="Times New Roman"/>
          <w:sz w:val="40"/>
          <w:szCs w:val="40"/>
        </w:rPr>
      </w:pPr>
    </w:p>
    <w:p w:rsidR="00B65BD0" w:rsidRPr="00B65BD0" w:rsidRDefault="00B65BD0" w:rsidP="00B65BD0">
      <w:pPr>
        <w:jc w:val="center"/>
        <w:rPr>
          <w:rFonts w:ascii="Times New Roman" w:hAnsi="Times New Roman" w:cs="Times New Roman"/>
          <w:sz w:val="40"/>
          <w:szCs w:val="40"/>
        </w:rPr>
      </w:pPr>
    </w:p>
    <w:p w:rsidR="00B65BD0" w:rsidRPr="00B65BD0" w:rsidRDefault="00B65BD0">
      <w:pPr>
        <w:rPr>
          <w:rFonts w:ascii="Times New Roman" w:hAnsi="Times New Roman" w:cs="Times New Roman"/>
          <w:sz w:val="48"/>
          <w:szCs w:val="48"/>
        </w:rPr>
      </w:pPr>
    </w:p>
    <w:p w:rsidR="00B65BD0" w:rsidRPr="00AF54A8" w:rsidRDefault="00142395" w:rsidP="00B65BD0">
      <w:pPr>
        <w:widowControl w:val="0"/>
        <w:autoSpaceDE w:val="0"/>
        <w:autoSpaceDN w:val="0"/>
        <w:adjustRightInd w:val="0"/>
        <w:ind w:left="2609" w:right="2610"/>
        <w:jc w:val="center"/>
        <w:rPr>
          <w:rFonts w:ascii="Times New Roman" w:hAnsi="Times New Roman" w:cs="Times New Roman"/>
          <w:b/>
          <w:color w:val="000000"/>
          <w:sz w:val="34"/>
          <w:szCs w:val="34"/>
        </w:rPr>
      </w:pPr>
      <w:r w:rsidRPr="00AF54A8">
        <w:rPr>
          <w:rFonts w:ascii="Times New Roman" w:hAnsi="Times New Roman" w:cs="Times New Roman"/>
          <w:b/>
          <w:color w:val="000000"/>
          <w:sz w:val="34"/>
          <w:szCs w:val="34"/>
        </w:rPr>
        <w:t>PROJECT</w:t>
      </w:r>
      <w:r w:rsidRPr="00AF54A8">
        <w:rPr>
          <w:rFonts w:ascii="Times New Roman" w:hAnsi="Times New Roman" w:cs="Times New Roman"/>
          <w:b/>
          <w:color w:val="000000"/>
          <w:spacing w:val="11"/>
          <w:sz w:val="34"/>
          <w:szCs w:val="34"/>
        </w:rPr>
        <w:t xml:space="preserve"> </w:t>
      </w:r>
      <w:r w:rsidRPr="00AF54A8">
        <w:rPr>
          <w:rFonts w:ascii="Times New Roman" w:hAnsi="Times New Roman" w:cs="Times New Roman"/>
          <w:b/>
          <w:color w:val="000000"/>
          <w:sz w:val="34"/>
          <w:szCs w:val="34"/>
        </w:rPr>
        <w:t>FOR</w:t>
      </w:r>
      <w:r w:rsidRPr="00AF54A8">
        <w:rPr>
          <w:rFonts w:ascii="Times New Roman" w:hAnsi="Times New Roman" w:cs="Times New Roman"/>
          <w:b/>
          <w:color w:val="000000"/>
          <w:spacing w:val="-5"/>
          <w:sz w:val="34"/>
          <w:szCs w:val="34"/>
        </w:rPr>
        <w:t xml:space="preserve"> </w:t>
      </w:r>
      <w:r w:rsidRPr="00AF54A8">
        <w:rPr>
          <w:rFonts w:ascii="Times New Roman" w:hAnsi="Times New Roman" w:cs="Times New Roman"/>
          <w:b/>
          <w:color w:val="000000"/>
          <w:sz w:val="34"/>
          <w:szCs w:val="34"/>
        </w:rPr>
        <w:t>THE</w:t>
      </w:r>
      <w:r w:rsidRPr="00AF54A8">
        <w:rPr>
          <w:rFonts w:ascii="Times New Roman" w:hAnsi="Times New Roman" w:cs="Times New Roman"/>
          <w:b/>
          <w:color w:val="000000"/>
          <w:spacing w:val="40"/>
          <w:sz w:val="34"/>
          <w:szCs w:val="34"/>
        </w:rPr>
        <w:t xml:space="preserve"> </w:t>
      </w:r>
      <w:r w:rsidRPr="00AF54A8">
        <w:rPr>
          <w:rFonts w:ascii="Times New Roman" w:hAnsi="Times New Roman" w:cs="Times New Roman"/>
          <w:b/>
          <w:color w:val="000000"/>
          <w:sz w:val="34"/>
          <w:szCs w:val="34"/>
        </w:rPr>
        <w:t>DEG</w:t>
      </w:r>
      <w:r w:rsidRPr="00AF54A8">
        <w:rPr>
          <w:rFonts w:ascii="Times New Roman" w:hAnsi="Times New Roman" w:cs="Times New Roman"/>
          <w:b/>
          <w:color w:val="000000"/>
          <w:spacing w:val="1"/>
          <w:sz w:val="34"/>
          <w:szCs w:val="34"/>
        </w:rPr>
        <w:t>R</w:t>
      </w:r>
      <w:r w:rsidRPr="00AF54A8">
        <w:rPr>
          <w:rFonts w:ascii="Times New Roman" w:hAnsi="Times New Roman" w:cs="Times New Roman"/>
          <w:b/>
          <w:color w:val="000000"/>
          <w:sz w:val="34"/>
          <w:szCs w:val="34"/>
        </w:rPr>
        <w:t>EE</w:t>
      </w:r>
      <w:r w:rsidRPr="00AF54A8">
        <w:rPr>
          <w:rFonts w:ascii="Times New Roman" w:hAnsi="Times New Roman" w:cs="Times New Roman"/>
          <w:b/>
          <w:color w:val="000000"/>
          <w:spacing w:val="-17"/>
          <w:sz w:val="34"/>
          <w:szCs w:val="34"/>
        </w:rPr>
        <w:t xml:space="preserve"> </w:t>
      </w:r>
      <w:r w:rsidRPr="00AF54A8">
        <w:rPr>
          <w:rFonts w:ascii="Times New Roman" w:hAnsi="Times New Roman" w:cs="Times New Roman"/>
          <w:b/>
          <w:color w:val="000000"/>
          <w:w w:val="89"/>
          <w:sz w:val="34"/>
          <w:szCs w:val="34"/>
        </w:rPr>
        <w:t>OF</w:t>
      </w:r>
    </w:p>
    <w:p w:rsidR="00B65BD0" w:rsidRDefault="00B65BD0" w:rsidP="00B65BD0">
      <w:pPr>
        <w:widowControl w:val="0"/>
        <w:autoSpaceDE w:val="0"/>
        <w:autoSpaceDN w:val="0"/>
        <w:adjustRightInd w:val="0"/>
        <w:spacing w:before="10" w:line="260" w:lineRule="exact"/>
        <w:jc w:val="center"/>
        <w:rPr>
          <w:rFonts w:ascii="Times New Roman" w:hAnsi="Times New Roman"/>
          <w:color w:val="000000"/>
          <w:sz w:val="26"/>
          <w:szCs w:val="26"/>
        </w:rPr>
      </w:pPr>
    </w:p>
    <w:p w:rsidR="00B65BD0" w:rsidRPr="00AF54A8" w:rsidRDefault="00142395" w:rsidP="00B65BD0">
      <w:pPr>
        <w:widowControl w:val="0"/>
        <w:autoSpaceDE w:val="0"/>
        <w:autoSpaceDN w:val="0"/>
        <w:adjustRightInd w:val="0"/>
        <w:ind w:left="1205" w:right="1206"/>
        <w:jc w:val="center"/>
        <w:rPr>
          <w:rFonts w:ascii="Times New Roman" w:hAnsi="Times New Roman"/>
          <w:b/>
          <w:color w:val="BF003F"/>
          <w:w w:val="122"/>
          <w:sz w:val="36"/>
          <w:szCs w:val="36"/>
        </w:rPr>
      </w:pPr>
      <w:r w:rsidRPr="00AF54A8">
        <w:rPr>
          <w:rFonts w:ascii="Times New Roman" w:hAnsi="Times New Roman"/>
          <w:b/>
          <w:color w:val="BF003F"/>
          <w:w w:val="122"/>
          <w:sz w:val="36"/>
          <w:szCs w:val="36"/>
        </w:rPr>
        <w:t>MSC IN DATA SCIENCE SEM – 4</w:t>
      </w:r>
    </w:p>
    <w:p w:rsidR="00B65BD0" w:rsidRPr="00AF54A8" w:rsidRDefault="00142395" w:rsidP="00B65BD0">
      <w:pPr>
        <w:widowControl w:val="0"/>
        <w:autoSpaceDE w:val="0"/>
        <w:autoSpaceDN w:val="0"/>
        <w:adjustRightInd w:val="0"/>
        <w:ind w:left="4060" w:right="4060"/>
        <w:jc w:val="center"/>
        <w:rPr>
          <w:rFonts w:ascii="Times New Roman" w:hAnsi="Times New Roman"/>
          <w:b/>
          <w:color w:val="000000"/>
          <w:sz w:val="34"/>
          <w:szCs w:val="34"/>
        </w:rPr>
      </w:pPr>
      <w:r w:rsidRPr="00AF54A8">
        <w:rPr>
          <w:rFonts w:ascii="Times New Roman" w:hAnsi="Times New Roman"/>
          <w:b/>
          <w:color w:val="000000"/>
          <w:spacing w:val="-9"/>
          <w:w w:val="103"/>
          <w:sz w:val="34"/>
          <w:szCs w:val="34"/>
        </w:rPr>
        <w:t>B</w:t>
      </w:r>
      <w:r w:rsidRPr="00AF54A8">
        <w:rPr>
          <w:rFonts w:ascii="Times New Roman" w:hAnsi="Times New Roman"/>
          <w:b/>
          <w:color w:val="000000"/>
          <w:w w:val="98"/>
          <w:sz w:val="34"/>
          <w:szCs w:val="34"/>
        </w:rPr>
        <w:t>Y</w:t>
      </w:r>
    </w:p>
    <w:p w:rsidR="00B65BD0" w:rsidRDefault="00B65BD0" w:rsidP="00B65BD0">
      <w:pPr>
        <w:widowControl w:val="0"/>
        <w:autoSpaceDE w:val="0"/>
        <w:autoSpaceDN w:val="0"/>
        <w:adjustRightInd w:val="0"/>
        <w:spacing w:line="200" w:lineRule="exact"/>
        <w:jc w:val="center"/>
        <w:rPr>
          <w:rFonts w:ascii="Times New Roman" w:hAnsi="Times New Roman"/>
          <w:color w:val="000000"/>
          <w:sz w:val="20"/>
          <w:szCs w:val="20"/>
        </w:rPr>
      </w:pPr>
    </w:p>
    <w:p w:rsidR="00B65BD0" w:rsidRPr="00AF54A8" w:rsidRDefault="00B65BD0" w:rsidP="00B65BD0">
      <w:pPr>
        <w:widowControl w:val="0"/>
        <w:autoSpaceDE w:val="0"/>
        <w:autoSpaceDN w:val="0"/>
        <w:adjustRightInd w:val="0"/>
        <w:ind w:left="1805" w:right="1806"/>
        <w:jc w:val="center"/>
        <w:rPr>
          <w:rFonts w:ascii="Times New Roman" w:hAnsi="Times New Roman"/>
          <w:b/>
          <w:color w:val="000000"/>
          <w:spacing w:val="-40"/>
          <w:w w:val="124"/>
          <w:sz w:val="34"/>
          <w:szCs w:val="34"/>
        </w:rPr>
      </w:pPr>
      <w:proofErr w:type="gramStart"/>
      <w:r w:rsidRPr="00AF54A8">
        <w:rPr>
          <w:rFonts w:ascii="Times New Roman" w:hAnsi="Times New Roman"/>
          <w:b/>
          <w:color w:val="000000"/>
          <w:spacing w:val="-40"/>
          <w:w w:val="124"/>
          <w:sz w:val="34"/>
          <w:szCs w:val="34"/>
        </w:rPr>
        <w:t>KAUSHALSINH  VAGHELA</w:t>
      </w:r>
      <w:proofErr w:type="gramEnd"/>
    </w:p>
    <w:p w:rsidR="00B65BD0" w:rsidRDefault="00B65BD0" w:rsidP="00B65BD0">
      <w:pPr>
        <w:widowControl w:val="0"/>
        <w:autoSpaceDE w:val="0"/>
        <w:autoSpaceDN w:val="0"/>
        <w:adjustRightInd w:val="0"/>
        <w:ind w:left="1805" w:right="1806"/>
        <w:jc w:val="center"/>
        <w:rPr>
          <w:rFonts w:ascii="Times New Roman" w:hAnsi="Times New Roman"/>
          <w:color w:val="000000"/>
          <w:spacing w:val="-40"/>
          <w:w w:val="124"/>
          <w:sz w:val="34"/>
          <w:szCs w:val="34"/>
        </w:rPr>
      </w:pPr>
    </w:p>
    <w:p w:rsidR="00B65BD0" w:rsidRDefault="00B65BD0" w:rsidP="00B65BD0">
      <w:pPr>
        <w:widowControl w:val="0"/>
        <w:autoSpaceDE w:val="0"/>
        <w:autoSpaceDN w:val="0"/>
        <w:adjustRightInd w:val="0"/>
        <w:ind w:left="1805" w:right="1806"/>
        <w:jc w:val="center"/>
        <w:rPr>
          <w:rFonts w:ascii="Times New Roman" w:hAnsi="Times New Roman"/>
          <w:color w:val="000000"/>
          <w:spacing w:val="-40"/>
          <w:w w:val="124"/>
          <w:sz w:val="34"/>
          <w:szCs w:val="34"/>
        </w:rPr>
      </w:pPr>
    </w:p>
    <w:p w:rsidR="00B65BD0" w:rsidRDefault="00B65BD0" w:rsidP="00B65BD0">
      <w:pPr>
        <w:widowControl w:val="0"/>
        <w:autoSpaceDE w:val="0"/>
        <w:autoSpaceDN w:val="0"/>
        <w:adjustRightInd w:val="0"/>
        <w:ind w:left="1805" w:right="1806"/>
        <w:jc w:val="center"/>
        <w:rPr>
          <w:rFonts w:ascii="Times New Roman" w:hAnsi="Times New Roman"/>
          <w:color w:val="000000"/>
          <w:spacing w:val="-40"/>
          <w:w w:val="124"/>
          <w:sz w:val="34"/>
          <w:szCs w:val="34"/>
        </w:rPr>
      </w:pPr>
    </w:p>
    <w:p w:rsidR="00AF54A8" w:rsidRDefault="00AF54A8" w:rsidP="00B65BD0">
      <w:pPr>
        <w:widowControl w:val="0"/>
        <w:autoSpaceDE w:val="0"/>
        <w:autoSpaceDN w:val="0"/>
        <w:adjustRightInd w:val="0"/>
        <w:spacing w:before="95" w:line="846" w:lineRule="exact"/>
        <w:ind w:left="2146" w:right="2146"/>
        <w:jc w:val="center"/>
        <w:rPr>
          <w:rFonts w:ascii="Times New Roman" w:hAnsi="Times New Roman"/>
          <w:color w:val="000000"/>
          <w:sz w:val="34"/>
          <w:szCs w:val="34"/>
        </w:rPr>
      </w:pPr>
      <w:r>
        <w:rPr>
          <w:rFonts w:ascii="Times New Roman" w:hAnsi="Times New Roman"/>
          <w:color w:val="000000"/>
          <w:sz w:val="34"/>
          <w:szCs w:val="3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BD10290_"/>
          </v:shape>
        </w:pict>
      </w:r>
    </w:p>
    <w:p w:rsidR="00B65BD0" w:rsidRPr="00AF54A8" w:rsidRDefault="00142395" w:rsidP="00142395">
      <w:pPr>
        <w:widowControl w:val="0"/>
        <w:autoSpaceDE w:val="0"/>
        <w:autoSpaceDN w:val="0"/>
        <w:adjustRightInd w:val="0"/>
        <w:spacing w:before="95" w:line="846" w:lineRule="exact"/>
        <w:ind w:left="2146" w:right="2146"/>
        <w:rPr>
          <w:rFonts w:ascii="Times New Roman" w:hAnsi="Times New Roman"/>
          <w:b/>
          <w:color w:val="000000"/>
          <w:w w:val="105"/>
          <w:sz w:val="40"/>
          <w:szCs w:val="40"/>
        </w:rPr>
      </w:pPr>
      <w:r>
        <w:rPr>
          <w:rFonts w:ascii="Times New Roman" w:hAnsi="Times New Roman"/>
          <w:b/>
          <w:color w:val="000000"/>
          <w:sz w:val="40"/>
          <w:szCs w:val="40"/>
        </w:rPr>
        <w:t xml:space="preserve">              </w:t>
      </w:r>
      <w:r w:rsidR="00B65BD0" w:rsidRPr="00AF54A8">
        <w:rPr>
          <w:rFonts w:ascii="Times New Roman" w:hAnsi="Times New Roman"/>
          <w:b/>
          <w:color w:val="000000"/>
          <w:sz w:val="40"/>
          <w:szCs w:val="40"/>
        </w:rPr>
        <w:t>Submitted</w:t>
      </w:r>
      <w:r w:rsidR="00B65BD0" w:rsidRPr="00AF54A8">
        <w:rPr>
          <w:rFonts w:ascii="Times New Roman" w:hAnsi="Times New Roman"/>
          <w:b/>
          <w:color w:val="000000"/>
          <w:spacing w:val="49"/>
          <w:sz w:val="40"/>
          <w:szCs w:val="40"/>
        </w:rPr>
        <w:t xml:space="preserve"> </w:t>
      </w:r>
      <w:r w:rsidR="00B65BD0" w:rsidRPr="00AF54A8">
        <w:rPr>
          <w:rFonts w:ascii="Times New Roman" w:hAnsi="Times New Roman"/>
          <w:b/>
          <w:color w:val="000000"/>
          <w:w w:val="105"/>
          <w:sz w:val="40"/>
          <w:szCs w:val="40"/>
        </w:rPr>
        <w:t>to</w:t>
      </w:r>
    </w:p>
    <w:p w:rsidR="00B65BD0" w:rsidRDefault="00AF54A8" w:rsidP="00142395">
      <w:pPr>
        <w:rPr>
          <w:b/>
          <w:bCs/>
          <w:color w:val="1F4E79"/>
          <w:sz w:val="52"/>
          <w:szCs w:val="52"/>
        </w:rPr>
      </w:pPr>
      <w:r>
        <w:rPr>
          <w:b/>
          <w:bCs/>
          <w:color w:val="1F4E79"/>
          <w:sz w:val="52"/>
          <w:szCs w:val="52"/>
        </w:rPr>
        <w:t xml:space="preserve">    </w:t>
      </w:r>
      <w:r w:rsidR="00142395">
        <w:rPr>
          <w:b/>
          <w:bCs/>
          <w:color w:val="1F4E79"/>
          <w:sz w:val="52"/>
          <w:szCs w:val="52"/>
        </w:rPr>
        <w:t xml:space="preserve">  </w:t>
      </w:r>
      <w:r>
        <w:rPr>
          <w:b/>
          <w:bCs/>
          <w:color w:val="1F4E79"/>
          <w:sz w:val="52"/>
          <w:szCs w:val="52"/>
        </w:rPr>
        <w:t xml:space="preserve">  </w:t>
      </w:r>
      <w:r w:rsidR="00B65BD0">
        <w:rPr>
          <w:rFonts w:ascii="Times New Roman" w:hAnsi="Times New Roman"/>
          <w:noProof/>
          <w:color w:val="000000"/>
          <w:sz w:val="20"/>
          <w:szCs w:val="20"/>
        </w:rPr>
        <w:drawing>
          <wp:inline distT="0" distB="0" distL="0" distR="0">
            <wp:extent cx="1137920" cy="1137920"/>
            <wp:effectExtent l="19050" t="0" r="508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1137920" cy="1137920"/>
                    </a:xfrm>
                    <a:prstGeom prst="rect">
                      <a:avLst/>
                    </a:prstGeom>
                    <a:noFill/>
                  </pic:spPr>
                </pic:pic>
              </a:graphicData>
            </a:graphic>
          </wp:inline>
        </w:drawing>
      </w:r>
      <w:r w:rsidR="00B65BD0">
        <w:rPr>
          <w:b/>
          <w:bCs/>
          <w:color w:val="1F4E79"/>
          <w:sz w:val="52"/>
          <w:szCs w:val="52"/>
        </w:rPr>
        <w:t xml:space="preserve">                          </w:t>
      </w:r>
      <w:r w:rsidR="00B65BD0">
        <w:rPr>
          <w:rFonts w:ascii="Times New Roman" w:hAnsi="Times New Roman"/>
          <w:noProof/>
          <w:color w:val="000000"/>
          <w:sz w:val="20"/>
          <w:szCs w:val="20"/>
        </w:rPr>
        <w:drawing>
          <wp:inline distT="0" distB="0" distL="0" distR="0">
            <wp:extent cx="1186180" cy="1186180"/>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1186180" cy="1186180"/>
                    </a:xfrm>
                    <a:prstGeom prst="rect">
                      <a:avLst/>
                    </a:prstGeom>
                    <a:noFill/>
                  </pic:spPr>
                </pic:pic>
              </a:graphicData>
            </a:graphic>
          </wp:inline>
        </w:drawing>
      </w:r>
    </w:p>
    <w:p w:rsidR="00B65BD0" w:rsidRPr="00AF54A8" w:rsidRDefault="00B65BD0" w:rsidP="00B65BD0">
      <w:pPr>
        <w:widowControl w:val="0"/>
        <w:autoSpaceDE w:val="0"/>
        <w:autoSpaceDN w:val="0"/>
        <w:adjustRightInd w:val="0"/>
        <w:spacing w:line="387" w:lineRule="auto"/>
        <w:ind w:right="-512"/>
        <w:jc w:val="center"/>
        <w:rPr>
          <w:rFonts w:ascii="Times New Roman" w:hAnsi="Times New Roman"/>
          <w:b/>
          <w:color w:val="000000"/>
          <w:w w:val="124"/>
          <w:sz w:val="34"/>
          <w:szCs w:val="34"/>
        </w:rPr>
      </w:pPr>
      <w:r w:rsidRPr="00AF54A8">
        <w:rPr>
          <w:rFonts w:ascii="Times New Roman" w:hAnsi="Times New Roman"/>
          <w:b/>
          <w:color w:val="000000"/>
          <w:w w:val="125"/>
          <w:sz w:val="34"/>
          <w:szCs w:val="34"/>
        </w:rPr>
        <w:t>Departme</w:t>
      </w:r>
      <w:r w:rsidRPr="00AF54A8">
        <w:rPr>
          <w:rFonts w:ascii="Times New Roman" w:hAnsi="Times New Roman"/>
          <w:b/>
          <w:color w:val="000000"/>
          <w:spacing w:val="-10"/>
          <w:w w:val="125"/>
          <w:sz w:val="34"/>
          <w:szCs w:val="34"/>
        </w:rPr>
        <w:t>n</w:t>
      </w:r>
      <w:r w:rsidRPr="00AF54A8">
        <w:rPr>
          <w:rFonts w:ascii="Times New Roman" w:hAnsi="Times New Roman"/>
          <w:b/>
          <w:color w:val="000000"/>
          <w:w w:val="159"/>
          <w:sz w:val="34"/>
          <w:szCs w:val="34"/>
        </w:rPr>
        <w:t>t</w:t>
      </w:r>
      <w:r w:rsidRPr="00AF54A8">
        <w:rPr>
          <w:rFonts w:ascii="Times New Roman" w:hAnsi="Times New Roman"/>
          <w:b/>
          <w:color w:val="000000"/>
          <w:sz w:val="34"/>
          <w:szCs w:val="34"/>
        </w:rPr>
        <w:t xml:space="preserve"> </w:t>
      </w:r>
      <w:r w:rsidRPr="00AF54A8">
        <w:rPr>
          <w:rFonts w:ascii="Times New Roman" w:hAnsi="Times New Roman"/>
          <w:b/>
          <w:color w:val="000000"/>
          <w:spacing w:val="-41"/>
          <w:sz w:val="34"/>
          <w:szCs w:val="34"/>
        </w:rPr>
        <w:t>of</w:t>
      </w:r>
      <w:r w:rsidRPr="00AF54A8">
        <w:rPr>
          <w:rFonts w:ascii="Times New Roman" w:hAnsi="Times New Roman"/>
          <w:b/>
          <w:color w:val="000000"/>
          <w:spacing w:val="73"/>
          <w:sz w:val="34"/>
          <w:szCs w:val="34"/>
        </w:rPr>
        <w:t xml:space="preserve"> </w:t>
      </w:r>
      <w:r w:rsidRPr="00AF54A8">
        <w:rPr>
          <w:rFonts w:ascii="Times New Roman" w:hAnsi="Times New Roman"/>
          <w:b/>
          <w:color w:val="000000"/>
          <w:w w:val="124"/>
          <w:sz w:val="34"/>
          <w:szCs w:val="34"/>
        </w:rPr>
        <w:t>AIML/DS</w:t>
      </w:r>
    </w:p>
    <w:p w:rsidR="00B65BD0" w:rsidRPr="00AF54A8" w:rsidRDefault="00B65BD0" w:rsidP="00B65BD0">
      <w:pPr>
        <w:widowControl w:val="0"/>
        <w:autoSpaceDE w:val="0"/>
        <w:autoSpaceDN w:val="0"/>
        <w:adjustRightInd w:val="0"/>
        <w:spacing w:line="387" w:lineRule="auto"/>
        <w:ind w:right="-229"/>
        <w:rPr>
          <w:rFonts w:ascii="Times New Roman" w:hAnsi="Times New Roman"/>
          <w:b/>
          <w:color w:val="000000"/>
          <w:w w:val="124"/>
          <w:sz w:val="34"/>
          <w:szCs w:val="34"/>
        </w:rPr>
      </w:pPr>
      <w:r w:rsidRPr="00AF54A8">
        <w:rPr>
          <w:rFonts w:ascii="Times New Roman" w:hAnsi="Times New Roman"/>
          <w:b/>
          <w:color w:val="000000"/>
          <w:w w:val="124"/>
          <w:sz w:val="34"/>
          <w:szCs w:val="34"/>
        </w:rPr>
        <w:t xml:space="preserve">        School of Emerging Science &amp; Technology </w:t>
      </w:r>
    </w:p>
    <w:p w:rsidR="00B65BD0" w:rsidRDefault="00B65BD0" w:rsidP="00B65BD0">
      <w:pPr>
        <w:widowControl w:val="0"/>
        <w:autoSpaceDE w:val="0"/>
        <w:autoSpaceDN w:val="0"/>
        <w:adjustRightInd w:val="0"/>
        <w:spacing w:line="387" w:lineRule="auto"/>
        <w:ind w:right="1837"/>
        <w:jc w:val="center"/>
        <w:rPr>
          <w:rFonts w:ascii="Times New Roman" w:hAnsi="Times New Roman"/>
          <w:color w:val="000000"/>
          <w:sz w:val="41"/>
          <w:szCs w:val="41"/>
        </w:rPr>
      </w:pPr>
      <w:r w:rsidRPr="00AF54A8">
        <w:rPr>
          <w:rFonts w:ascii="Times New Roman" w:hAnsi="Times New Roman"/>
          <w:b/>
          <w:color w:val="0000FF"/>
          <w:w w:val="129"/>
          <w:sz w:val="41"/>
          <w:szCs w:val="41"/>
        </w:rPr>
        <w:t xml:space="preserve">             Gujarat</w:t>
      </w:r>
      <w:r w:rsidRPr="00AF54A8">
        <w:rPr>
          <w:rFonts w:ascii="Times New Roman" w:hAnsi="Times New Roman"/>
          <w:b/>
          <w:color w:val="0000FF"/>
          <w:spacing w:val="25"/>
          <w:w w:val="129"/>
          <w:sz w:val="41"/>
          <w:szCs w:val="41"/>
        </w:rPr>
        <w:t xml:space="preserve"> </w:t>
      </w:r>
      <w:r w:rsidRPr="00AF54A8">
        <w:rPr>
          <w:rFonts w:ascii="Times New Roman" w:hAnsi="Times New Roman"/>
          <w:b/>
          <w:color w:val="0000FF"/>
          <w:w w:val="120"/>
          <w:sz w:val="41"/>
          <w:szCs w:val="41"/>
        </w:rPr>
        <w:t>Uni</w:t>
      </w:r>
      <w:r w:rsidRPr="00AF54A8">
        <w:rPr>
          <w:rFonts w:ascii="Times New Roman" w:hAnsi="Times New Roman"/>
          <w:b/>
          <w:color w:val="0000FF"/>
          <w:spacing w:val="-12"/>
          <w:w w:val="120"/>
          <w:sz w:val="41"/>
          <w:szCs w:val="41"/>
        </w:rPr>
        <w:t>v</w:t>
      </w:r>
      <w:r w:rsidRPr="00AF54A8">
        <w:rPr>
          <w:rFonts w:ascii="Times New Roman" w:hAnsi="Times New Roman"/>
          <w:b/>
          <w:color w:val="0000FF"/>
          <w:w w:val="126"/>
          <w:sz w:val="41"/>
          <w:szCs w:val="41"/>
        </w:rPr>
        <w:t>ersi</w:t>
      </w:r>
      <w:r w:rsidRPr="00AF54A8">
        <w:rPr>
          <w:rFonts w:ascii="Times New Roman" w:hAnsi="Times New Roman"/>
          <w:b/>
          <w:color w:val="0000FF"/>
          <w:spacing w:val="-12"/>
          <w:w w:val="126"/>
          <w:sz w:val="41"/>
          <w:szCs w:val="41"/>
        </w:rPr>
        <w:t>t</w:t>
      </w:r>
      <w:r w:rsidRPr="00AF54A8">
        <w:rPr>
          <w:rFonts w:ascii="Times New Roman" w:hAnsi="Times New Roman"/>
          <w:b/>
          <w:color w:val="0000FF"/>
          <w:w w:val="119"/>
          <w:sz w:val="41"/>
          <w:szCs w:val="41"/>
        </w:rPr>
        <w:t>y</w:t>
      </w:r>
      <w:r>
        <w:rPr>
          <w:rFonts w:ascii="Times New Roman" w:hAnsi="Times New Roman"/>
          <w:color w:val="0000FF"/>
          <w:w w:val="119"/>
          <w:sz w:val="41"/>
          <w:szCs w:val="41"/>
        </w:rPr>
        <w:t xml:space="preserve"> </w:t>
      </w:r>
    </w:p>
    <w:p w:rsidR="00B65BD0" w:rsidRDefault="00B65BD0" w:rsidP="00B65BD0">
      <w:pPr>
        <w:widowControl w:val="0"/>
        <w:autoSpaceDE w:val="0"/>
        <w:autoSpaceDN w:val="0"/>
        <w:adjustRightInd w:val="0"/>
        <w:spacing w:line="160" w:lineRule="exact"/>
        <w:rPr>
          <w:rFonts w:ascii="Times New Roman" w:hAnsi="Times New Roman"/>
          <w:color w:val="000000"/>
          <w:sz w:val="16"/>
          <w:szCs w:val="16"/>
        </w:rPr>
      </w:pPr>
    </w:p>
    <w:p w:rsidR="00B65BD0" w:rsidRPr="00B65BD0" w:rsidRDefault="00B65BD0" w:rsidP="00B65BD0">
      <w:pPr>
        <w:widowControl w:val="0"/>
        <w:autoSpaceDE w:val="0"/>
        <w:autoSpaceDN w:val="0"/>
        <w:adjustRightInd w:val="0"/>
        <w:ind w:left="3135" w:right="3136"/>
        <w:jc w:val="center"/>
        <w:rPr>
          <w:rFonts w:ascii="Times New Roman" w:hAnsi="Times New Roman"/>
          <w:color w:val="000000"/>
          <w:w w:val="92"/>
          <w:sz w:val="34"/>
          <w:szCs w:val="34"/>
        </w:rPr>
      </w:pPr>
      <w:r>
        <w:rPr>
          <w:rFonts w:ascii="Times New Roman" w:hAnsi="Times New Roman"/>
          <w:color w:val="000000"/>
          <w:spacing w:val="-27"/>
          <w:sz w:val="34"/>
          <w:szCs w:val="34"/>
        </w:rPr>
        <w:t>April</w:t>
      </w:r>
      <w:r>
        <w:rPr>
          <w:rFonts w:ascii="Times New Roman" w:hAnsi="Times New Roman"/>
          <w:color w:val="000000"/>
          <w:spacing w:val="58"/>
          <w:sz w:val="34"/>
          <w:szCs w:val="34"/>
        </w:rPr>
        <w:t xml:space="preserve"> </w:t>
      </w:r>
      <w:r>
        <w:rPr>
          <w:rFonts w:ascii="Times New Roman" w:hAnsi="Times New Roman"/>
          <w:color w:val="000000"/>
          <w:sz w:val="34"/>
          <w:szCs w:val="34"/>
        </w:rPr>
        <w:t>–</w:t>
      </w:r>
      <w:r>
        <w:rPr>
          <w:rFonts w:ascii="Times New Roman" w:hAnsi="Times New Roman"/>
          <w:color w:val="000000"/>
          <w:spacing w:val="9"/>
          <w:sz w:val="34"/>
          <w:szCs w:val="34"/>
        </w:rPr>
        <w:t xml:space="preserve"> </w:t>
      </w:r>
      <w:r>
        <w:rPr>
          <w:rFonts w:ascii="Times New Roman" w:hAnsi="Times New Roman"/>
          <w:color w:val="000000"/>
          <w:w w:val="92"/>
          <w:sz w:val="34"/>
          <w:szCs w:val="34"/>
        </w:rPr>
        <w:t>2026</w:t>
      </w:r>
      <w:r>
        <w:rPr>
          <w:b/>
          <w:bCs/>
          <w:color w:val="1F4E79"/>
          <w:sz w:val="52"/>
          <w:szCs w:val="52"/>
        </w:rPr>
        <w:br w:type="page"/>
      </w:r>
    </w:p>
    <w:p w:rsidR="00955FA7" w:rsidRDefault="00B65BD0">
      <w:pPr>
        <w:spacing w:before="1200" w:after="200"/>
        <w:jc w:val="center"/>
      </w:pPr>
      <w:r>
        <w:rPr>
          <w:b/>
          <w:bCs/>
          <w:color w:val="1F4E79"/>
          <w:sz w:val="52"/>
          <w:szCs w:val="52"/>
        </w:rPr>
        <w:lastRenderedPageBreak/>
        <w:t>COVID-19 GLOBAL DATA ANALYSIS</w:t>
      </w:r>
    </w:p>
    <w:p w:rsidR="00955FA7" w:rsidRDefault="00B65BD0">
      <w:pPr>
        <w:spacing w:after="600"/>
        <w:jc w:val="center"/>
      </w:pPr>
      <w:r>
        <w:rPr>
          <w:b/>
          <w:bCs/>
          <w:color w:val="2E75B6"/>
          <w:sz w:val="44"/>
          <w:szCs w:val="44"/>
        </w:rPr>
        <w:t>&amp; ETL PIPELINE PROJECT</w:t>
      </w:r>
    </w:p>
    <w:p w:rsidR="00955FA7" w:rsidRDefault="00B65BD0">
      <w:pPr>
        <w:spacing w:after="1200"/>
        <w:jc w:val="center"/>
      </w:pPr>
      <w:r>
        <w:rPr>
          <w:i/>
          <w:iCs/>
          <w:color w:val="555555"/>
          <w:sz w:val="26"/>
          <w:szCs w:val="26"/>
        </w:rPr>
        <w:t>A Comprehensive Data Engineering Portfolio Project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Details</w:t>
            </w:r>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Kaushal</w:t>
            </w:r>
            <w:proofErr w:type="spellEnd"/>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Program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Postgraduate Data Science / AI-ML</w:t>
            </w:r>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School of Emerging Science and Technology</w:t>
            </w:r>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Project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Data Engineering — Portfolio / Showcase</w:t>
            </w:r>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Data Source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Our World in Data (OWID) — COVID-19 Dataset</w:t>
            </w:r>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March 2026</w:t>
            </w:r>
          </w:p>
        </w:tc>
      </w:tr>
      <w:tr w:rsidR="00955FA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Tools Used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 xml:space="preserve">Python, Pandas, </w:t>
            </w:r>
            <w:proofErr w:type="spellStart"/>
            <w:r>
              <w:rPr>
                <w:sz w:val="20"/>
                <w:szCs w:val="20"/>
              </w:rPr>
              <w:t>SQLAlchemy</w:t>
            </w:r>
            <w:proofErr w:type="spellEnd"/>
            <w:r>
              <w:rPr>
                <w:sz w:val="20"/>
                <w:szCs w:val="20"/>
              </w:rPr>
              <w:t xml:space="preserve">, </w:t>
            </w:r>
            <w:proofErr w:type="spellStart"/>
            <w:r>
              <w:rPr>
                <w:sz w:val="20"/>
                <w:szCs w:val="20"/>
              </w:rPr>
              <w:t>SQLite</w:t>
            </w:r>
            <w:proofErr w:type="spellEnd"/>
            <w:r>
              <w:rPr>
                <w:sz w:val="20"/>
                <w:szCs w:val="20"/>
              </w:rPr>
              <w:t xml:space="preserve">, Power BI, </w:t>
            </w:r>
            <w:proofErr w:type="spellStart"/>
            <w:r>
              <w:rPr>
                <w:sz w:val="20"/>
                <w:szCs w:val="20"/>
              </w:rPr>
              <w:t>Jupyter</w:t>
            </w:r>
            <w:proofErr w:type="spellEnd"/>
            <w:r>
              <w:rPr>
                <w:sz w:val="20"/>
                <w:szCs w:val="20"/>
              </w:rPr>
              <w:t xml:space="preserve"> Notebook</w:t>
            </w:r>
          </w:p>
        </w:tc>
      </w:tr>
    </w:tbl>
    <w:p w:rsidR="00955FA7" w:rsidRDefault="00B65BD0">
      <w:r>
        <w:br w:type="page"/>
      </w:r>
    </w:p>
    <w:p w:rsidR="00955FA7" w:rsidRDefault="00B65BD0">
      <w:pPr>
        <w:pStyle w:val="Heading1"/>
        <w:pBdr>
          <w:bottom w:val="single" w:sz="6" w:space="1" w:color="2E75B6"/>
        </w:pBdr>
      </w:pPr>
      <w:r>
        <w:lastRenderedPageBreak/>
        <w:t>Table of Contents</w:t>
      </w:r>
    </w:p>
    <w:p w:rsidR="00955FA7" w:rsidRDefault="00B65BD0">
      <w:pPr>
        <w:spacing w:before="80" w:after="80"/>
        <w:jc w:val="both"/>
      </w:pPr>
      <w:r>
        <w:t xml:space="preserve">1.  </w:t>
      </w:r>
      <w:proofErr w:type="gramStart"/>
      <w:r>
        <w:t>Abstract ..............................................................</w:t>
      </w:r>
      <w:proofErr w:type="gramEnd"/>
      <w:r>
        <w:t xml:space="preserve"> 3</w:t>
      </w:r>
    </w:p>
    <w:p w:rsidR="00955FA7" w:rsidRDefault="00B65BD0">
      <w:pPr>
        <w:spacing w:before="80" w:after="80"/>
        <w:jc w:val="both"/>
      </w:pPr>
      <w:r>
        <w:t>2.  Introduction .......................................................... 3</w:t>
      </w:r>
    </w:p>
    <w:p w:rsidR="00955FA7" w:rsidRDefault="00B65BD0">
      <w:pPr>
        <w:spacing w:before="80" w:after="80"/>
        <w:jc w:val="both"/>
      </w:pPr>
      <w:r>
        <w:t>3.  Problem Statement &amp; Objectives ........................................ 4</w:t>
      </w:r>
    </w:p>
    <w:p w:rsidR="00955FA7" w:rsidRDefault="00B65BD0">
      <w:pPr>
        <w:spacing w:before="80" w:after="80"/>
        <w:jc w:val="both"/>
      </w:pPr>
      <w:r>
        <w:t>4.  Dataset Description ................................................... 4</w:t>
      </w:r>
    </w:p>
    <w:p w:rsidR="00955FA7" w:rsidRDefault="00B65BD0">
      <w:pPr>
        <w:spacing w:before="80" w:after="80"/>
        <w:jc w:val="both"/>
      </w:pPr>
      <w:r>
        <w:t>5.  ETL Architecture ...................................................... 5</w:t>
      </w:r>
    </w:p>
    <w:p w:rsidR="00955FA7" w:rsidRDefault="00B65BD0">
      <w:pPr>
        <w:spacing w:before="80" w:after="80"/>
        <w:jc w:val="both"/>
      </w:pPr>
      <w:r>
        <w:t>6.  Data Quality Report ................................................... 6</w:t>
      </w:r>
    </w:p>
    <w:p w:rsidR="00955FA7" w:rsidRDefault="00B65BD0">
      <w:pPr>
        <w:spacing w:before="80" w:after="80"/>
        <w:jc w:val="both"/>
      </w:pPr>
      <w:r>
        <w:t>7.  Extract Phase ......................................................... 7</w:t>
      </w:r>
    </w:p>
    <w:p w:rsidR="00955FA7" w:rsidRDefault="00B65BD0">
      <w:pPr>
        <w:spacing w:before="80" w:after="80"/>
        <w:jc w:val="both"/>
      </w:pPr>
      <w:r>
        <w:t>8.  Transform Phase ....................................................... 8</w:t>
      </w:r>
    </w:p>
    <w:p w:rsidR="00955FA7" w:rsidRDefault="00B65BD0">
      <w:pPr>
        <w:spacing w:before="80" w:after="80"/>
        <w:jc w:val="both"/>
      </w:pPr>
      <w:r>
        <w:t>9.  Load Phase ............................................................ 9</w:t>
      </w:r>
    </w:p>
    <w:p w:rsidR="00955FA7" w:rsidRDefault="00B65BD0">
      <w:pPr>
        <w:spacing w:before="80" w:after="80"/>
        <w:jc w:val="both"/>
      </w:pPr>
      <w:r>
        <w:t>10. Analysis 1 — Cases &amp; Deaths Trend .................................... 10</w:t>
      </w:r>
    </w:p>
    <w:p w:rsidR="00955FA7" w:rsidRDefault="00B65BD0">
      <w:pPr>
        <w:spacing w:before="80" w:after="80"/>
        <w:jc w:val="both"/>
      </w:pPr>
      <w:r>
        <w:t>11. Analysis 2 — Country-wise Comparison ................................. 11</w:t>
      </w:r>
    </w:p>
    <w:p w:rsidR="00955FA7" w:rsidRDefault="00B65BD0">
      <w:pPr>
        <w:spacing w:before="80" w:after="80"/>
        <w:jc w:val="both"/>
      </w:pPr>
      <w:r>
        <w:t>12. Analysis 3 — Vaccination Progress .................................... 11</w:t>
      </w:r>
    </w:p>
    <w:p w:rsidR="00955FA7" w:rsidRDefault="00B65BD0">
      <w:pPr>
        <w:spacing w:before="80" w:after="80"/>
        <w:jc w:val="both"/>
      </w:pPr>
      <w:r>
        <w:t>13. Analysis 4 — Recovery Rate Analysis .................................. 12</w:t>
      </w:r>
    </w:p>
    <w:p w:rsidR="00955FA7" w:rsidRDefault="00B65BD0">
      <w:pPr>
        <w:spacing w:before="80" w:after="80"/>
        <w:jc w:val="both"/>
      </w:pPr>
      <w:r>
        <w:t>14. Power BI Dashboard Overview .......................................... 12</w:t>
      </w:r>
    </w:p>
    <w:p w:rsidR="00955FA7" w:rsidRDefault="00B65BD0">
      <w:pPr>
        <w:spacing w:before="80" w:after="80"/>
        <w:jc w:val="both"/>
      </w:pPr>
      <w:r>
        <w:t>15. Key Findings &amp; Insights .............................................. 13</w:t>
      </w:r>
    </w:p>
    <w:p w:rsidR="00955FA7" w:rsidRDefault="00B65BD0">
      <w:pPr>
        <w:spacing w:before="80" w:after="80"/>
        <w:jc w:val="both"/>
      </w:pPr>
      <w:r>
        <w:t xml:space="preserve">16. </w:t>
      </w:r>
      <w:proofErr w:type="gramStart"/>
      <w:r>
        <w:t>Conclusion ...........................................................</w:t>
      </w:r>
      <w:proofErr w:type="gramEnd"/>
      <w:r>
        <w:t xml:space="preserve"> 13</w:t>
      </w:r>
    </w:p>
    <w:p w:rsidR="00955FA7" w:rsidRDefault="00B65BD0">
      <w:pPr>
        <w:spacing w:before="80" w:after="80"/>
        <w:jc w:val="both"/>
      </w:pPr>
      <w:r>
        <w:t xml:space="preserve">17. </w:t>
      </w:r>
      <w:proofErr w:type="gramStart"/>
      <w:r>
        <w:t>References ...........................................................</w:t>
      </w:r>
      <w:proofErr w:type="gramEnd"/>
      <w:r>
        <w:t xml:space="preserve"> 14</w:t>
      </w:r>
    </w:p>
    <w:p w:rsidR="00955FA7" w:rsidRDefault="00B65BD0">
      <w:r>
        <w:br w:type="page"/>
      </w:r>
    </w:p>
    <w:p w:rsidR="00955FA7" w:rsidRDefault="00B65BD0">
      <w:pPr>
        <w:pStyle w:val="Heading1"/>
        <w:pBdr>
          <w:bottom w:val="single" w:sz="6" w:space="1" w:color="2E75B6"/>
        </w:pBdr>
      </w:pPr>
      <w:r>
        <w:lastRenderedPageBreak/>
        <w:t>1. Abstract</w:t>
      </w:r>
    </w:p>
    <w:p w:rsidR="00955FA7" w:rsidRDefault="00B65BD0">
      <w:pPr>
        <w:spacing w:before="80" w:after="80"/>
        <w:jc w:val="both"/>
      </w:pPr>
      <w:r>
        <w:t xml:space="preserve">This project presents a complete end-to-end ETL (Extract, Transform, Load) pipeline built on the Our World in Data (OWID) COVID-19 dataset, which spans over 200,000 records across 180+ countries from January 2020 to December 2023. The pipeline was developed using Python, Pandas, </w:t>
      </w:r>
      <w:proofErr w:type="spellStart"/>
      <w:r>
        <w:t>NumPy</w:t>
      </w:r>
      <w:proofErr w:type="spellEnd"/>
      <w:r>
        <w:t xml:space="preserve">, and </w:t>
      </w:r>
      <w:proofErr w:type="spellStart"/>
      <w:r>
        <w:t>SQLAlchemy</w:t>
      </w:r>
      <w:proofErr w:type="spellEnd"/>
      <w:r>
        <w:t xml:space="preserve"> within a </w:t>
      </w:r>
      <w:proofErr w:type="spellStart"/>
      <w:r>
        <w:t>Jupyter</w:t>
      </w:r>
      <w:proofErr w:type="spellEnd"/>
      <w:r>
        <w:t xml:space="preserve"> Notebook environment. The extract phase downloads the raw CSV dataset directly from OWID, the transform phase applies systematic data quality checks, null handling via forward-fill, </w:t>
      </w:r>
      <w:proofErr w:type="spellStart"/>
      <w:r>
        <w:t>deduplication</w:t>
      </w:r>
      <w:proofErr w:type="spellEnd"/>
      <w:r>
        <w:t xml:space="preserve">, and feature engineering to produce six new analytical metrics. The load phase </w:t>
      </w:r>
      <w:proofErr w:type="gramStart"/>
      <w:r>
        <w:t>persists</w:t>
      </w:r>
      <w:proofErr w:type="gramEnd"/>
      <w:r>
        <w:t xml:space="preserve"> cleaned data into both a </w:t>
      </w:r>
      <w:proofErr w:type="spellStart"/>
      <w:r>
        <w:t>SQLite</w:t>
      </w:r>
      <w:proofErr w:type="spellEnd"/>
      <w:r>
        <w:t xml:space="preserve"> rel</w:t>
      </w:r>
      <w:r>
        <w:t>a</w:t>
      </w:r>
      <w:r>
        <w:t>tional database and four structured CSV files optimized for Power BI ingestion.</w:t>
      </w:r>
    </w:p>
    <w:p w:rsidR="00955FA7" w:rsidRDefault="00B65BD0">
      <w:pPr>
        <w:spacing w:before="80" w:after="80"/>
        <w:jc w:val="both"/>
      </w:pPr>
      <w:r>
        <w:t>The final deliverable includes a four-page interactive Power BI dashboard covering case and death trends, country-wise comparisons, vaccination progress, and recovery rate analysis. Key findings reveal significant global disparities in vaccination rollout, death rates, and case severity across continents. This project demonstrates practical data engineering competencies including pipeline design, automated data quality management, feature engineering, multi-format data loading, and business intelligence dashboard development.</w:t>
      </w:r>
    </w:p>
    <w:p w:rsidR="00955FA7" w:rsidRDefault="00955FA7">
      <w:pPr>
        <w:spacing w:before="120" w:after="120"/>
      </w:pPr>
    </w:p>
    <w:p w:rsidR="00955FA7" w:rsidRDefault="00B65BD0">
      <w:pPr>
        <w:pStyle w:val="Heading1"/>
        <w:pBdr>
          <w:bottom w:val="single" w:sz="6" w:space="1" w:color="2E75B6"/>
        </w:pBdr>
      </w:pPr>
      <w:r>
        <w:t>2. Introduction</w:t>
      </w:r>
    </w:p>
    <w:p w:rsidR="00955FA7" w:rsidRDefault="00B65BD0">
      <w:pPr>
        <w:spacing w:before="80" w:after="80"/>
        <w:jc w:val="both"/>
      </w:pPr>
      <w:r>
        <w:t xml:space="preserve">The COVID-19 pandemic, declared by the World Health Organization (WHO) in March 2020, became one of the most significant global public health crises in modern history. By the end of 2023, the virus had resulted in hundreds of millions of confirmed cases and millions of deaths worldwide. </w:t>
      </w:r>
      <w:proofErr w:type="gramStart"/>
      <w:r>
        <w:t>The unprecedented scale of the pandemic generated vast quantities of daily epid</w:t>
      </w:r>
      <w:r>
        <w:t>e</w:t>
      </w:r>
      <w:r>
        <w:t>miological data, creating both an opportunity and a challenge for data professionals to extract meaningful insights from complex, multi-dimensional datasets.</w:t>
      </w:r>
      <w:proofErr w:type="gramEnd"/>
    </w:p>
    <w:p w:rsidR="00955FA7" w:rsidRDefault="00B65BD0">
      <w:pPr>
        <w:spacing w:before="80" w:after="80"/>
        <w:jc w:val="both"/>
      </w:pPr>
      <w:r>
        <w:t>Data engineering plays a critical role in transforming raw, messy, real-world data into clean, structured, and analysis-ready formats. The ETL (Extract, Transform, Load) paradigm is a fou</w:t>
      </w:r>
      <w:r>
        <w:t>n</w:t>
      </w:r>
      <w:r>
        <w:t>dational workflow in data engineering, enabling organizations to collect data from disparate sources, apply business logic and quality checks, and deliver clean data to downstream co</w:t>
      </w:r>
      <w:r>
        <w:t>n</w:t>
      </w:r>
      <w:r>
        <w:t>sumers such as dashboards, machine learning models, and reporting systems.</w:t>
      </w:r>
    </w:p>
    <w:p w:rsidR="00955FA7" w:rsidRDefault="00B65BD0">
      <w:pPr>
        <w:spacing w:before="80" w:after="80"/>
        <w:jc w:val="both"/>
      </w:pPr>
      <w:r>
        <w:t xml:space="preserve">This project applies data engineering principles to the COVID-19 domain, constructing a fully automated ETL pipeline that processes the OWID COVID-19 dataset. The pipeline produces cleaned, feature-engineered data stored in both a relational </w:t>
      </w:r>
      <w:proofErr w:type="spellStart"/>
      <w:r>
        <w:t>SQLite</w:t>
      </w:r>
      <w:proofErr w:type="spellEnd"/>
      <w:r>
        <w:t xml:space="preserve"> database and structured CSVs, which power a comprehensive four-page Power BI dashboard. The project demonstrates proficiency in Python-based data engineering, automated data quality management, and bus</w:t>
      </w:r>
      <w:r>
        <w:t>i</w:t>
      </w:r>
      <w:r>
        <w:t>ness intelligence visualization.</w:t>
      </w:r>
    </w:p>
    <w:p w:rsidR="007D0385" w:rsidRDefault="007D0385" w:rsidP="00AF54A8"/>
    <w:p w:rsidR="007D0385" w:rsidRDefault="007D0385" w:rsidP="00AF54A8"/>
    <w:p w:rsidR="007D0385" w:rsidRDefault="007D0385" w:rsidP="00AF54A8"/>
    <w:p w:rsidR="007D0385" w:rsidRDefault="007D0385" w:rsidP="00AF54A8"/>
    <w:p w:rsidR="007D0385" w:rsidRDefault="007D0385" w:rsidP="00AF54A8"/>
    <w:p w:rsidR="007D0385" w:rsidRDefault="007D0385" w:rsidP="00AF54A8"/>
    <w:p w:rsidR="007D0385" w:rsidRDefault="007D0385" w:rsidP="00AF54A8"/>
    <w:p w:rsidR="007D0385" w:rsidRDefault="007D0385" w:rsidP="00AF54A8"/>
    <w:p w:rsidR="007D0385" w:rsidRDefault="007D0385" w:rsidP="00AF54A8"/>
    <w:p w:rsidR="007D0385" w:rsidRDefault="007D0385" w:rsidP="00AF54A8"/>
    <w:p w:rsidR="00AF54A8" w:rsidRDefault="00B65BD0" w:rsidP="00AF54A8">
      <w:r>
        <w:br w:type="page"/>
      </w:r>
    </w:p>
    <w:p w:rsidR="00955FA7" w:rsidRDefault="00B65BD0" w:rsidP="00AF54A8">
      <w:r>
        <w:lastRenderedPageBreak/>
        <w:t>3. Problem Statement &amp; Objectives</w:t>
      </w:r>
    </w:p>
    <w:p w:rsidR="00955FA7" w:rsidRDefault="00B65BD0">
      <w:pPr>
        <w:pStyle w:val="Heading2"/>
      </w:pPr>
      <w:r>
        <w:t>3.1 Problem Statement</w:t>
      </w:r>
    </w:p>
    <w:p w:rsidR="00955FA7" w:rsidRDefault="00B65BD0">
      <w:pPr>
        <w:spacing w:before="80" w:after="80"/>
        <w:jc w:val="both"/>
      </w:pPr>
      <w:r>
        <w:t>The raw COVID-19 dataset from Our World in Data contains over 67 columns and 200,000+ rows, with significant null values, aggregated non-country rows (continents, income groups, world totals), and inconsistent cumulative fields due to reporting gaps. Without systematic clea</w:t>
      </w:r>
      <w:r>
        <w:t>n</w:t>
      </w:r>
      <w:r>
        <w:t>ing and transformation, direct analysis of this data produces inaccurate insights and misleading visualizations. A structured ETL pipeline is required to automate data quality management and prepare analysis-ready outputs.</w:t>
      </w:r>
    </w:p>
    <w:p w:rsidR="00955FA7" w:rsidRDefault="00B65BD0">
      <w:pPr>
        <w:pStyle w:val="Heading2"/>
      </w:pPr>
      <w:r>
        <w:t>3.2 Project Objectives</w:t>
      </w:r>
    </w:p>
    <w:p w:rsidR="00955FA7" w:rsidRDefault="00B65BD0">
      <w:pPr>
        <w:pStyle w:val="ListParagraph"/>
        <w:numPr>
          <w:ilvl w:val="0"/>
          <w:numId w:val="2"/>
        </w:numPr>
        <w:spacing w:before="60" w:after="60"/>
      </w:pPr>
      <w:r>
        <w:t>Design and implement a Python-based ETL pipeline for COVID-19 global data</w:t>
      </w:r>
    </w:p>
    <w:p w:rsidR="00955FA7" w:rsidRDefault="00B65BD0">
      <w:pPr>
        <w:pStyle w:val="ListParagraph"/>
        <w:numPr>
          <w:ilvl w:val="0"/>
          <w:numId w:val="2"/>
        </w:numPr>
        <w:spacing w:before="60" w:after="60"/>
      </w:pPr>
      <w:r>
        <w:t xml:space="preserve">Apply automated data quality checks including null detection, </w:t>
      </w:r>
      <w:proofErr w:type="spellStart"/>
      <w:r>
        <w:t>deduplication</w:t>
      </w:r>
      <w:proofErr w:type="spellEnd"/>
      <w:r>
        <w:t>, and fo</w:t>
      </w:r>
      <w:r>
        <w:t>r</w:t>
      </w:r>
      <w:r>
        <w:t>ward-fill correction</w:t>
      </w:r>
    </w:p>
    <w:p w:rsidR="00955FA7" w:rsidRDefault="00B65BD0">
      <w:pPr>
        <w:pStyle w:val="ListParagraph"/>
        <w:numPr>
          <w:ilvl w:val="0"/>
          <w:numId w:val="2"/>
        </w:numPr>
        <w:spacing w:before="60" w:after="60"/>
      </w:pPr>
      <w:r>
        <w:t>Engineer six derived analytical metrics: death rate, recovery rate, vaccination rate, cases per million, deaths per million, and 7-day rolling average</w:t>
      </w:r>
    </w:p>
    <w:p w:rsidR="00955FA7" w:rsidRDefault="00B65BD0">
      <w:pPr>
        <w:pStyle w:val="ListParagraph"/>
        <w:numPr>
          <w:ilvl w:val="0"/>
          <w:numId w:val="2"/>
        </w:numPr>
        <w:spacing w:before="60" w:after="60"/>
      </w:pPr>
      <w:r>
        <w:t xml:space="preserve">Load cleaned data into </w:t>
      </w:r>
      <w:proofErr w:type="spellStart"/>
      <w:r>
        <w:t>SQLite</w:t>
      </w:r>
      <w:proofErr w:type="spellEnd"/>
      <w:r>
        <w:t xml:space="preserve"> (5 tables) and structured CSVs (4 files) for downstream consumption</w:t>
      </w:r>
    </w:p>
    <w:p w:rsidR="00955FA7" w:rsidRDefault="00B65BD0">
      <w:pPr>
        <w:pStyle w:val="ListParagraph"/>
        <w:numPr>
          <w:ilvl w:val="0"/>
          <w:numId w:val="2"/>
        </w:numPr>
        <w:spacing w:before="60" w:after="60"/>
      </w:pPr>
      <w:r>
        <w:t>Build a four-page Power BI dashboard covering all major analytical dimensions</w:t>
      </w:r>
    </w:p>
    <w:p w:rsidR="00955FA7" w:rsidRDefault="00B65BD0">
      <w:pPr>
        <w:pStyle w:val="ListParagraph"/>
        <w:numPr>
          <w:ilvl w:val="0"/>
          <w:numId w:val="2"/>
        </w:numPr>
        <w:spacing w:before="60" w:after="60"/>
      </w:pPr>
      <w:r>
        <w:t>Deliver findings through a comprehensive written report and executive presentation</w:t>
      </w:r>
    </w:p>
    <w:p w:rsidR="00955FA7" w:rsidRDefault="00B65BD0">
      <w:pPr>
        <w:pStyle w:val="Heading1"/>
        <w:pBdr>
          <w:bottom w:val="single" w:sz="6" w:space="1" w:color="2E75B6"/>
        </w:pBdr>
      </w:pPr>
      <w:r>
        <w:t>4. Dataset Description</w:t>
      </w:r>
    </w:p>
    <w:p w:rsidR="00955FA7" w:rsidRDefault="00B65BD0">
      <w:pPr>
        <w:pStyle w:val="Heading2"/>
      </w:pPr>
      <w:r>
        <w:t>4.1 Data Source</w:t>
      </w:r>
    </w:p>
    <w:p w:rsidR="00955FA7" w:rsidRDefault="00B65BD0">
      <w:pPr>
        <w:spacing w:before="80" w:after="80"/>
        <w:jc w:val="both"/>
      </w:pPr>
      <w:r>
        <w:t>The dataset is sourced from Our World in Data (OWID), a nonprofit research organization based at the University of Oxford. OWID maintains one of the most comprehensive and frequently u</w:t>
      </w:r>
      <w:r>
        <w:t>p</w:t>
      </w:r>
      <w:r>
        <w:t>dated COVID-19 datasets available publicly, aggregating data from the WHO, ECDC, Johns Hopkins University, and national health ministries.</w:t>
      </w:r>
    </w:p>
    <w:p w:rsidR="00955FA7" w:rsidRDefault="00B65BD0">
      <w:pPr>
        <w:pStyle w:val="Heading2"/>
      </w:pPr>
      <w:r>
        <w:t>4.2 Dataset Characteristics</w:t>
      </w:r>
    </w:p>
    <w:p w:rsidR="00955FA7" w:rsidRDefault="00955FA7">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5860"/>
      </w:tblGrid>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Details</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Source URL</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https://covid.ourworldindata.org/data/owid-covid-data.csv</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Total Records (Raw)</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200,000+ rows</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Total Columns (Raw)</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67 columns</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Date Range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January 2020 – December 2023</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Locations Covered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180+ countries + continents + income groups</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Update Frequency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Daily (historical archive used)</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File Format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Single CSV (~60MB)</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License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Creative Commons BY 4.0</w:t>
            </w:r>
          </w:p>
        </w:tc>
      </w:tr>
    </w:tbl>
    <w:p w:rsidR="00955FA7" w:rsidRDefault="00955FA7">
      <w:pPr>
        <w:spacing w:before="120" w:after="120"/>
      </w:pPr>
    </w:p>
    <w:p w:rsidR="00955FA7" w:rsidRDefault="00B65BD0">
      <w:pPr>
        <w:pStyle w:val="Heading2"/>
      </w:pPr>
      <w:r>
        <w:t>4.3 Key Columns Selected (14 of 67)</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4560"/>
        <w:gridCol w:w="2000"/>
      </w:tblGrid>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Column Name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Type</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iso_code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ISO 3166-1 alpha-3 country code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String</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continent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Geographic continent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String</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location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Country or region name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String</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Reporting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Date</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total_cases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Cumulative confirmed cases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new_cases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Daily new confirmed cases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total_deaths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Cumulative confirmed deaths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new_deaths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Daily new confirmed deaths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total_vaccinations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Cumulative vaccination doses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people_vaccinated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People with at least one dose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people_fully_vaccinated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People fully vaccinated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population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Country population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gdp_per_capita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GDP per capita (USD, PPP)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Numeric</w:t>
            </w:r>
          </w:p>
        </w:tc>
      </w:tr>
      <w:tr w:rsidR="00955FA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human_development_index</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UNDP HDI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Numeric</w:t>
            </w:r>
          </w:p>
        </w:tc>
      </w:tr>
    </w:tbl>
    <w:p w:rsidR="00955FA7" w:rsidRDefault="00B65BD0">
      <w:r>
        <w:br w:type="page"/>
      </w:r>
    </w:p>
    <w:p w:rsidR="00955FA7" w:rsidRDefault="00B65BD0">
      <w:pPr>
        <w:pStyle w:val="Heading1"/>
        <w:pBdr>
          <w:bottom w:val="single" w:sz="6" w:space="1" w:color="2E75B6"/>
        </w:pBdr>
      </w:pPr>
      <w:r>
        <w:lastRenderedPageBreak/>
        <w:t>5. ETL Architecture</w:t>
      </w:r>
    </w:p>
    <w:p w:rsidR="00955FA7" w:rsidRDefault="00B65BD0">
      <w:pPr>
        <w:pStyle w:val="Heading2"/>
      </w:pPr>
      <w:r>
        <w:t>5.1 Architecture Overview</w:t>
      </w:r>
    </w:p>
    <w:p w:rsidR="00955FA7" w:rsidRDefault="00B65BD0">
      <w:pPr>
        <w:spacing w:before="80" w:after="80"/>
        <w:jc w:val="both"/>
      </w:pPr>
      <w:r>
        <w:t xml:space="preserve">The ETL pipeline follows </w:t>
      </w:r>
      <w:proofErr w:type="gramStart"/>
      <w:r>
        <w:t>a three</w:t>
      </w:r>
      <w:proofErr w:type="gramEnd"/>
      <w:r>
        <w:t xml:space="preserve">-stage architecture: Extract, Transform, and Load. Each stage is implemented as a distinct set of </w:t>
      </w:r>
      <w:proofErr w:type="spellStart"/>
      <w:r>
        <w:t>Jupyter</w:t>
      </w:r>
      <w:proofErr w:type="spellEnd"/>
      <w:r>
        <w:t xml:space="preserve"> Notebook cells, enabling modular execution, debu</w:t>
      </w:r>
      <w:r>
        <w:t>g</w:t>
      </w:r>
      <w:r>
        <w:t>ging, and documentation. The pipeline is fully automated and reproducible — a single notebook run from top to bottom produces all cleaned data, feature-engineered outputs, and database artifacts.</w:t>
      </w:r>
    </w:p>
    <w:p w:rsidR="00955FA7" w:rsidRDefault="00955FA7">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07"/>
        <w:gridCol w:w="2497"/>
        <w:gridCol w:w="2498"/>
        <w:gridCol w:w="2858"/>
      </w:tblGrid>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Stage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Technology</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Output</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EXTRACT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OWID CSV Download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Python requests + Pa</w:t>
            </w:r>
            <w:r>
              <w:rPr>
                <w:sz w:val="20"/>
                <w:szCs w:val="20"/>
              </w:rPr>
              <w:t>n</w:t>
            </w:r>
            <w:r>
              <w:rPr>
                <w:sz w:val="20"/>
                <w:szCs w:val="20"/>
              </w:rPr>
              <w:t xml:space="preserve">das </w:t>
            </w:r>
            <w:proofErr w:type="spellStart"/>
            <w:r>
              <w:rPr>
                <w:sz w:val="20"/>
                <w:szCs w:val="20"/>
              </w:rPr>
              <w:t>read_csv</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raw_covid_data.csv (60MB)</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TRANSFORM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Column Filtering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 xml:space="preserve">Pandas </w:t>
            </w:r>
            <w:proofErr w:type="spellStart"/>
            <w:r>
              <w:rPr>
                <w:sz w:val="20"/>
                <w:szCs w:val="20"/>
              </w:rPr>
              <w:t>DataFrame</w:t>
            </w:r>
            <w:proofErr w:type="spellEnd"/>
            <w:r>
              <w:rPr>
                <w:sz w:val="20"/>
                <w:szCs w:val="20"/>
              </w:rPr>
              <w:t xml:space="preserve"> sli</w:t>
            </w:r>
            <w:r>
              <w:rPr>
                <w:sz w:val="20"/>
                <w:szCs w:val="20"/>
              </w:rPr>
              <w:t>c</w:t>
            </w:r>
            <w:r>
              <w:rPr>
                <w:sz w:val="20"/>
                <w:szCs w:val="20"/>
              </w:rPr>
              <w:t>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14 columns selected from 67</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TRANSFORM</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Aggregate Removal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 xml:space="preserve">Pandas </w:t>
            </w:r>
            <w:proofErr w:type="spellStart"/>
            <w:r>
              <w:rPr>
                <w:sz w:val="20"/>
                <w:szCs w:val="20"/>
              </w:rPr>
              <w:t>notna</w:t>
            </w:r>
            <w:proofErr w:type="spellEnd"/>
            <w:r>
              <w:rPr>
                <w:sz w:val="20"/>
                <w:szCs w:val="20"/>
              </w:rPr>
              <w:t>() filter</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180+ countries retained</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TRANSFORM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Null Handling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 xml:space="preserve">Pandas </w:t>
            </w:r>
            <w:proofErr w:type="spellStart"/>
            <w:r>
              <w:rPr>
                <w:sz w:val="20"/>
                <w:szCs w:val="20"/>
              </w:rPr>
              <w:t>ffill</w:t>
            </w:r>
            <w:proofErr w:type="spellEnd"/>
            <w:r>
              <w:rPr>
                <w:sz w:val="20"/>
                <w:szCs w:val="20"/>
              </w:rPr>
              <w:t>() per group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Cumulative columns repaired</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TRANSFORM</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7D0385">
            <w:r>
              <w:rPr>
                <w:sz w:val="20"/>
                <w:szCs w:val="20"/>
              </w:rPr>
              <w:t>Du</w:t>
            </w:r>
            <w:r w:rsidR="00B65BD0">
              <w:rPr>
                <w:sz w:val="20"/>
                <w:szCs w:val="20"/>
              </w:rPr>
              <w:t>duplication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 xml:space="preserve">Pandas </w:t>
            </w:r>
            <w:proofErr w:type="spellStart"/>
            <w:r>
              <w:rPr>
                <w:sz w:val="20"/>
                <w:szCs w:val="20"/>
              </w:rPr>
              <w:t>drop_duplicates</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 duplicates remaining</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TRANSFORM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Feature Engineering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 xml:space="preserve">Pandas + </w:t>
            </w:r>
            <w:proofErr w:type="spellStart"/>
            <w:r>
              <w:rPr>
                <w:sz w:val="20"/>
                <w:szCs w:val="20"/>
              </w:rPr>
              <w:t>NumPy</w:t>
            </w:r>
            <w:proofErr w:type="spellEnd"/>
            <w:r>
              <w:rPr>
                <w:sz w:val="20"/>
                <w:szCs w:val="20"/>
              </w:rPr>
              <w:t xml:space="preserve"> </w:t>
            </w:r>
            <w:proofErr w:type="spellStart"/>
            <w:r>
              <w:rPr>
                <w:sz w:val="20"/>
                <w:szCs w:val="20"/>
              </w:rPr>
              <w:t>vectorized</w:t>
            </w:r>
            <w:proofErr w:type="spellEnd"/>
            <w:r>
              <w:rPr>
                <w:sz w:val="20"/>
                <w:szCs w:val="20"/>
              </w:rPr>
              <w:t xml:space="preserve"> ops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6 new derived columns</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LOAD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CSV Export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 xml:space="preserve">Pandas </w:t>
            </w:r>
            <w:proofErr w:type="spellStart"/>
            <w:r>
              <w:rPr>
                <w:sz w:val="20"/>
                <w:szCs w:val="20"/>
              </w:rPr>
              <w:t>to_csv</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4 structured Power BI CSVs</w:t>
            </w:r>
          </w:p>
        </w:tc>
      </w:tr>
      <w:tr w:rsidR="00955FA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LOAD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SQLite</w:t>
            </w:r>
            <w:proofErr w:type="spellEnd"/>
            <w:r>
              <w:rPr>
                <w:sz w:val="20"/>
                <w:szCs w:val="20"/>
              </w:rPr>
              <w:t xml:space="preserve"> Load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SQLAlchemy</w:t>
            </w:r>
            <w:proofErr w:type="spellEnd"/>
            <w:r>
              <w:rPr>
                <w:sz w:val="20"/>
                <w:szCs w:val="20"/>
              </w:rPr>
              <w:t xml:space="preserve"> + </w:t>
            </w:r>
            <w:proofErr w:type="spellStart"/>
            <w:r>
              <w:rPr>
                <w:sz w:val="20"/>
                <w:szCs w:val="20"/>
              </w:rPr>
              <w:t>to_sql</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5 database tables</w:t>
            </w:r>
          </w:p>
        </w:tc>
      </w:tr>
    </w:tbl>
    <w:p w:rsidR="00955FA7" w:rsidRDefault="00955FA7">
      <w:pPr>
        <w:spacing w:before="120" w:after="120"/>
      </w:pPr>
    </w:p>
    <w:p w:rsidR="00955FA7" w:rsidRDefault="00B65BD0">
      <w:pPr>
        <w:pStyle w:val="Heading2"/>
      </w:pPr>
      <w:r>
        <w:t>5.2 Pipeline Flow</w:t>
      </w:r>
    </w:p>
    <w:p w:rsidR="00955FA7" w:rsidRDefault="00B65BD0">
      <w:pPr>
        <w:spacing w:before="80" w:after="80"/>
        <w:jc w:val="both"/>
      </w:pPr>
      <w:r>
        <w:t xml:space="preserve">OWID COVID-19 </w:t>
      </w:r>
      <w:proofErr w:type="gramStart"/>
      <w:r>
        <w:t>API  →</w:t>
      </w:r>
      <w:proofErr w:type="gramEnd"/>
      <w:r>
        <w:t xml:space="preserve">  [EXTRACT]  →  Raw CSV (200K+ records, 67 cols)</w:t>
      </w:r>
    </w:p>
    <w:p w:rsidR="00955FA7" w:rsidRDefault="00B65BD0">
      <w:pPr>
        <w:spacing w:before="80" w:after="80"/>
        <w:jc w:val="both"/>
      </w:pPr>
      <w:proofErr w:type="gramStart"/>
      <w:r>
        <w:t>→  [</w:t>
      </w:r>
      <w:proofErr w:type="gramEnd"/>
      <w:r>
        <w:t>TRANSFORM: Filter]  →  14 key columns, countries only</w:t>
      </w:r>
    </w:p>
    <w:p w:rsidR="00955FA7" w:rsidRDefault="00B65BD0">
      <w:pPr>
        <w:spacing w:before="80" w:after="80"/>
        <w:jc w:val="both"/>
      </w:pPr>
      <w:proofErr w:type="gramStart"/>
      <w:r>
        <w:t>→  [</w:t>
      </w:r>
      <w:proofErr w:type="gramEnd"/>
      <w:r>
        <w:t>TRANSFORM: Clean]   →  Nulls filled, duplicates removed</w:t>
      </w:r>
    </w:p>
    <w:p w:rsidR="00955FA7" w:rsidRDefault="00B65BD0">
      <w:pPr>
        <w:spacing w:before="80" w:after="80"/>
        <w:jc w:val="both"/>
      </w:pPr>
      <w:proofErr w:type="gramStart"/>
      <w:r>
        <w:t>→  [</w:t>
      </w:r>
      <w:proofErr w:type="gramEnd"/>
      <w:r>
        <w:t>TRANSFORM: Engineer] →  6 new analytical features added</w:t>
      </w:r>
    </w:p>
    <w:p w:rsidR="00955FA7" w:rsidRDefault="00B65BD0">
      <w:pPr>
        <w:spacing w:before="80" w:after="80"/>
        <w:jc w:val="both"/>
      </w:pPr>
      <w:proofErr w:type="gramStart"/>
      <w:r>
        <w:t>→  [</w:t>
      </w:r>
      <w:proofErr w:type="gramEnd"/>
      <w:r>
        <w:t>LOAD: CSV]          →  4 structured CSVs saved</w:t>
      </w:r>
    </w:p>
    <w:p w:rsidR="00955FA7" w:rsidRDefault="00B65BD0">
      <w:pPr>
        <w:spacing w:before="80" w:after="80"/>
        <w:jc w:val="both"/>
      </w:pPr>
      <w:proofErr w:type="gramStart"/>
      <w:r>
        <w:t>→  [</w:t>
      </w:r>
      <w:proofErr w:type="gramEnd"/>
      <w:r>
        <w:t xml:space="preserve">LOAD: </w:t>
      </w:r>
      <w:proofErr w:type="spellStart"/>
      <w:r>
        <w:t>SQLite</w:t>
      </w:r>
      <w:proofErr w:type="spellEnd"/>
      <w:r>
        <w:t xml:space="preserve">]       →  5 tables in </w:t>
      </w:r>
      <w:proofErr w:type="spellStart"/>
      <w:r>
        <w:t>covid_etl.db</w:t>
      </w:r>
      <w:proofErr w:type="spellEnd"/>
    </w:p>
    <w:p w:rsidR="00955FA7" w:rsidRDefault="00B65BD0">
      <w:pPr>
        <w:spacing w:before="80" w:after="80"/>
        <w:jc w:val="both"/>
      </w:pPr>
      <w:proofErr w:type="gramStart"/>
      <w:r>
        <w:t>→  [</w:t>
      </w:r>
      <w:proofErr w:type="gramEnd"/>
      <w:r>
        <w:t xml:space="preserve">VISUALIZE]          →  4 </w:t>
      </w:r>
      <w:proofErr w:type="spellStart"/>
      <w:r>
        <w:t>Jupyter</w:t>
      </w:r>
      <w:proofErr w:type="spellEnd"/>
      <w:r>
        <w:t xml:space="preserve"> charts + Power BI Dashboard</w:t>
      </w:r>
    </w:p>
    <w:p w:rsidR="00955FA7" w:rsidRDefault="00B65BD0">
      <w:r>
        <w:br w:type="page"/>
      </w:r>
    </w:p>
    <w:p w:rsidR="00955FA7" w:rsidRDefault="00B65BD0">
      <w:pPr>
        <w:pStyle w:val="Heading1"/>
        <w:pBdr>
          <w:bottom w:val="single" w:sz="6" w:space="1" w:color="2E75B6"/>
        </w:pBdr>
      </w:pPr>
      <w:r>
        <w:lastRenderedPageBreak/>
        <w:t>6. Data Quality Report</w:t>
      </w:r>
    </w:p>
    <w:p w:rsidR="00955FA7" w:rsidRDefault="00B65BD0">
      <w:pPr>
        <w:pStyle w:val="Heading2"/>
      </w:pPr>
      <w:r>
        <w:t>6.1 Pre-Cleaning Quality Issues</w:t>
      </w:r>
    </w:p>
    <w:p w:rsidR="00955FA7" w:rsidRDefault="00B65BD0">
      <w:pPr>
        <w:spacing w:before="80" w:after="80"/>
        <w:jc w:val="both"/>
      </w:pPr>
      <w:r>
        <w:t>The raw OWID dataset presented several data quality challenges that required systematic res</w:t>
      </w:r>
      <w:r>
        <w:t>o</w:t>
      </w:r>
      <w:r>
        <w:t>lution prior to analysis. The following table summarizes the key issues identified during the data quality assessment phase.</w:t>
      </w:r>
    </w:p>
    <w:p w:rsidR="00955FA7" w:rsidRDefault="00955FA7">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17"/>
        <w:gridCol w:w="2698"/>
        <w:gridCol w:w="1454"/>
        <w:gridCol w:w="2791"/>
      </w:tblGrid>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Issue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Column(s) Affected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 Null (Raw)</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Resolution Applied</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Missing cumulative va</w:t>
            </w:r>
            <w:r>
              <w:rPr>
                <w:sz w:val="20"/>
                <w:szCs w:val="20"/>
              </w:rPr>
              <w:t>l</w:t>
            </w:r>
            <w:r>
              <w:rPr>
                <w:sz w:val="20"/>
                <w:szCs w:val="20"/>
              </w:rPr>
              <w:t>ues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total_vaccinations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32.4%</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Forward fill per country</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Missing vaccination counts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people_fully_vaccinated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35.1%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Forward fill per country</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Missing HDI values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human_development_index</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28.7%</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Filled with 0</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Non-country rows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continent (null)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Rows removed (cont</w:t>
            </w:r>
            <w:r>
              <w:rPr>
                <w:sz w:val="20"/>
                <w:szCs w:val="20"/>
              </w:rPr>
              <w:t>i</w:t>
            </w:r>
            <w:r>
              <w:rPr>
                <w:sz w:val="20"/>
                <w:szCs w:val="20"/>
              </w:rPr>
              <w:t>nents/world)</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Duplicate records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All columns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&lt; 0.1%</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drop_duplicates</w:t>
            </w:r>
            <w:proofErr w:type="spellEnd"/>
            <w:r>
              <w:rPr>
                <w:sz w:val="20"/>
                <w:szCs w:val="20"/>
              </w:rPr>
              <w:t>() applied</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Zero-division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death_rate</w:t>
            </w:r>
            <w:proofErr w:type="spellEnd"/>
            <w:r>
              <w:rPr>
                <w:sz w:val="20"/>
                <w:szCs w:val="20"/>
              </w:rPr>
              <w:t xml:space="preserve"> calculation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 xml:space="preserve">replace(0, </w:t>
            </w:r>
            <w:proofErr w:type="spellStart"/>
            <w:r>
              <w:rPr>
                <w:sz w:val="20"/>
                <w:szCs w:val="20"/>
              </w:rPr>
              <w:t>NaN</w:t>
            </w:r>
            <w:proofErr w:type="spellEnd"/>
            <w:r>
              <w:rPr>
                <w:sz w:val="20"/>
                <w:szCs w:val="20"/>
              </w:rPr>
              <w:t>) before div</w:t>
            </w:r>
            <w:r>
              <w:rPr>
                <w:sz w:val="20"/>
                <w:szCs w:val="20"/>
              </w:rPr>
              <w:t>i</w:t>
            </w:r>
            <w:r>
              <w:rPr>
                <w:sz w:val="20"/>
                <w:szCs w:val="20"/>
              </w:rPr>
              <w:t>sion</w:t>
            </w:r>
          </w:p>
        </w:tc>
      </w:tr>
    </w:tbl>
    <w:p w:rsidR="00955FA7" w:rsidRDefault="00955FA7">
      <w:pPr>
        <w:spacing w:before="120" w:after="120"/>
      </w:pPr>
    </w:p>
    <w:p w:rsidR="00955FA7" w:rsidRDefault="00B65BD0">
      <w:pPr>
        <w:pStyle w:val="Heading2"/>
      </w:pPr>
      <w:r>
        <w:t>6.2 Post-Cleaning Quality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500"/>
        <w:gridCol w:w="2800"/>
        <w:gridCol w:w="3060"/>
      </w:tblGrid>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Before Cleaning</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After Cleaning</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Total Records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200,000+</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185,000+ (country rows only)</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Total Columns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67</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14 selected + 6 engineered = 20</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Null Values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Thousands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Duplicate Rows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&lt; 200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Countries Covered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180+ (inc. aggregates)</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180+ (countries only)</w:t>
            </w:r>
          </w:p>
        </w:tc>
      </w:tr>
      <w:tr w:rsidR="00955FA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Date Range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Jan 2020 – Dec 2023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Jan 2020 – Dec 2023 (u</w:t>
            </w:r>
            <w:r>
              <w:rPr>
                <w:sz w:val="20"/>
                <w:szCs w:val="20"/>
              </w:rPr>
              <w:t>n</w:t>
            </w:r>
            <w:r>
              <w:rPr>
                <w:sz w:val="20"/>
                <w:szCs w:val="20"/>
              </w:rPr>
              <w:t>changed)</w:t>
            </w:r>
          </w:p>
        </w:tc>
      </w:tr>
    </w:tbl>
    <w:p w:rsidR="00955FA7" w:rsidRDefault="00B65BD0">
      <w:r>
        <w:br w:type="page"/>
      </w:r>
    </w:p>
    <w:p w:rsidR="00955FA7" w:rsidRDefault="00B65BD0">
      <w:pPr>
        <w:pStyle w:val="Heading1"/>
        <w:pBdr>
          <w:bottom w:val="single" w:sz="6" w:space="1" w:color="2E75B6"/>
        </w:pBdr>
      </w:pPr>
      <w:r>
        <w:lastRenderedPageBreak/>
        <w:t>7. Extract Phase</w:t>
      </w:r>
    </w:p>
    <w:p w:rsidR="00955FA7" w:rsidRDefault="00B65BD0">
      <w:pPr>
        <w:pStyle w:val="Heading2"/>
      </w:pPr>
      <w:r>
        <w:t>7.1 Data Source Connection</w:t>
      </w:r>
    </w:p>
    <w:p w:rsidR="00955FA7" w:rsidRDefault="00B65BD0">
      <w:pPr>
        <w:spacing w:before="80" w:after="80"/>
        <w:jc w:val="both"/>
      </w:pPr>
      <w:r>
        <w:t xml:space="preserve">The extract phase begins with a direct HTTP GET request to the OWID COVID-19 public data endpoint. The Pandas </w:t>
      </w:r>
      <w:proofErr w:type="spellStart"/>
      <w:r>
        <w:t>read_</w:t>
      </w:r>
      <w:proofErr w:type="gramStart"/>
      <w:r>
        <w:t>csv</w:t>
      </w:r>
      <w:proofErr w:type="spellEnd"/>
      <w:r>
        <w:t>(</w:t>
      </w:r>
      <w:proofErr w:type="gramEnd"/>
      <w:r>
        <w:t xml:space="preserve">) function was used to download and parse the raw CSV file in a single operation, storing it in a </w:t>
      </w:r>
      <w:proofErr w:type="spellStart"/>
      <w:r>
        <w:t>DataFrame</w:t>
      </w:r>
      <w:proofErr w:type="spellEnd"/>
      <w:r>
        <w:t xml:space="preserve"> for immediate inspection. The raw file was saved locally to ensure reproducibility and to avoid repeated network calls during subsequent deve</w:t>
      </w:r>
      <w:r>
        <w:t>l</w:t>
      </w:r>
      <w:r>
        <w:t>opment sessions.</w:t>
      </w:r>
    </w:p>
    <w:p w:rsidR="00955FA7" w:rsidRDefault="00B65BD0">
      <w:pPr>
        <w:pStyle w:val="Heading2"/>
      </w:pPr>
      <w:r>
        <w:t>7.2 Extraction Steps</w:t>
      </w:r>
    </w:p>
    <w:p w:rsidR="00955FA7" w:rsidRDefault="00B65BD0">
      <w:pPr>
        <w:pStyle w:val="ListParagraph"/>
        <w:numPr>
          <w:ilvl w:val="0"/>
          <w:numId w:val="2"/>
        </w:numPr>
        <w:spacing w:before="60" w:after="60"/>
      </w:pPr>
      <w:r>
        <w:t xml:space="preserve">Connected to OWID public endpoint using Pandas </w:t>
      </w:r>
      <w:proofErr w:type="spellStart"/>
      <w:r>
        <w:t>read_csv</w:t>
      </w:r>
      <w:proofErr w:type="spellEnd"/>
      <w:r>
        <w:t>() with URL parameter</w:t>
      </w:r>
    </w:p>
    <w:p w:rsidR="00955FA7" w:rsidRDefault="00B65BD0">
      <w:pPr>
        <w:pStyle w:val="ListParagraph"/>
        <w:numPr>
          <w:ilvl w:val="0"/>
          <w:numId w:val="2"/>
        </w:numPr>
        <w:spacing w:before="60" w:after="60"/>
      </w:pPr>
      <w:r>
        <w:t>Loaded 200,000+ rows across 67 columns into memory in a single operation</w:t>
      </w:r>
    </w:p>
    <w:p w:rsidR="00955FA7" w:rsidRDefault="00B65BD0">
      <w:pPr>
        <w:pStyle w:val="ListParagraph"/>
        <w:numPr>
          <w:ilvl w:val="0"/>
          <w:numId w:val="2"/>
        </w:numPr>
        <w:spacing w:before="60" w:after="60"/>
      </w:pPr>
      <w:r>
        <w:t>Saved raw CSV immediately to data/raw/raw_covid_data.csv as a reproducibility chec</w:t>
      </w:r>
      <w:r>
        <w:t>k</w:t>
      </w:r>
      <w:r>
        <w:t>point</w:t>
      </w:r>
    </w:p>
    <w:p w:rsidR="00955FA7" w:rsidRDefault="00B65BD0">
      <w:pPr>
        <w:pStyle w:val="ListParagraph"/>
        <w:numPr>
          <w:ilvl w:val="0"/>
          <w:numId w:val="2"/>
        </w:numPr>
        <w:spacing w:before="60" w:after="60"/>
      </w:pPr>
      <w:r>
        <w:t>Performed initial exploration: shape, column inventory, date range, and location count</w:t>
      </w:r>
    </w:p>
    <w:p w:rsidR="00955FA7" w:rsidRDefault="00B65BD0">
      <w:pPr>
        <w:pStyle w:val="ListParagraph"/>
        <w:numPr>
          <w:ilvl w:val="0"/>
          <w:numId w:val="2"/>
        </w:numPr>
        <w:spacing w:before="60" w:after="60"/>
      </w:pPr>
      <w:r>
        <w:t>Identified 180+ unique locations including countries, continents, and income group a</w:t>
      </w:r>
      <w:r>
        <w:t>g</w:t>
      </w:r>
      <w:r>
        <w:t>gregates</w:t>
      </w:r>
    </w:p>
    <w:p w:rsidR="00955FA7" w:rsidRDefault="00B65BD0">
      <w:pPr>
        <w:pStyle w:val="Heading2"/>
      </w:pPr>
      <w:r>
        <w:t>7.3 Column Selection Rationale</w:t>
      </w:r>
    </w:p>
    <w:p w:rsidR="00955FA7" w:rsidRDefault="00B65BD0">
      <w:pPr>
        <w:spacing w:before="80" w:after="80"/>
        <w:jc w:val="both"/>
      </w:pPr>
      <w:r>
        <w:t>From 67 available columns, 14 were selected for the pipeline based on their analytical relevance to the four project objectives: case and death trend analysis, country comparison, va</w:t>
      </w:r>
      <w:r>
        <w:t>c</w:t>
      </w:r>
      <w:r>
        <w:t xml:space="preserve">cination progress, and recovery rate analysis. Columns excluded included redundant derivatives (e.g., </w:t>
      </w:r>
      <w:proofErr w:type="spellStart"/>
      <w:r>
        <w:t>new_cases_smoothed</w:t>
      </w:r>
      <w:proofErr w:type="spellEnd"/>
      <w:r>
        <w:t xml:space="preserve"> when raw </w:t>
      </w:r>
      <w:proofErr w:type="spellStart"/>
      <w:r>
        <w:t>new_cases</w:t>
      </w:r>
      <w:proofErr w:type="spellEnd"/>
      <w:r>
        <w:t xml:space="preserve"> was available), highly sparse features (&gt;50% null), and non-essential metadata fields.</w:t>
      </w:r>
    </w:p>
    <w:p w:rsidR="00955FA7" w:rsidRDefault="00B65BD0">
      <w:r>
        <w:br w:type="page"/>
      </w:r>
    </w:p>
    <w:p w:rsidR="00955FA7" w:rsidRDefault="00B65BD0">
      <w:pPr>
        <w:pStyle w:val="Heading1"/>
        <w:pBdr>
          <w:bottom w:val="single" w:sz="6" w:space="1" w:color="2E75B6"/>
        </w:pBdr>
      </w:pPr>
      <w:r>
        <w:lastRenderedPageBreak/>
        <w:t>8. Transform Phase</w:t>
      </w:r>
    </w:p>
    <w:p w:rsidR="00955FA7" w:rsidRDefault="00B65BD0">
      <w:pPr>
        <w:pStyle w:val="Heading2"/>
      </w:pPr>
      <w:r>
        <w:t>8.1 Aggregate Row Removal</w:t>
      </w:r>
    </w:p>
    <w:p w:rsidR="00955FA7" w:rsidRDefault="00B65BD0">
      <w:pPr>
        <w:spacing w:before="80" w:after="80"/>
        <w:jc w:val="both"/>
      </w:pPr>
      <w:r>
        <w:t>The OWID dataset includes non-country rows representing continental aggregates (e.g., 'Asia', 'Europe'), income group summaries (e.g., 'High income', 'Low income'), and a 'World' total row. These were identified by a null value in the continent column and removed to ensure country-level analysis integrity. After removal, 180+ country-level locations were retained.</w:t>
      </w:r>
    </w:p>
    <w:p w:rsidR="00955FA7" w:rsidRDefault="00B65BD0">
      <w:pPr>
        <w:pStyle w:val="Heading2"/>
      </w:pPr>
      <w:r>
        <w:t>8.2 Null Value Handling</w:t>
      </w:r>
    </w:p>
    <w:p w:rsidR="00955FA7" w:rsidRDefault="00B65BD0">
      <w:pPr>
        <w:spacing w:before="80" w:after="80"/>
        <w:jc w:val="both"/>
      </w:pPr>
      <w:r>
        <w:t>Cumulative columns (</w:t>
      </w:r>
      <w:proofErr w:type="spellStart"/>
      <w:r>
        <w:t>total_cases</w:t>
      </w:r>
      <w:proofErr w:type="spellEnd"/>
      <w:r>
        <w:t xml:space="preserve">, </w:t>
      </w:r>
      <w:proofErr w:type="spellStart"/>
      <w:r>
        <w:t>total_deaths</w:t>
      </w:r>
      <w:proofErr w:type="spellEnd"/>
      <w:r>
        <w:t xml:space="preserve">, </w:t>
      </w:r>
      <w:proofErr w:type="spellStart"/>
      <w:r>
        <w:t>total_vaccinations</w:t>
      </w:r>
      <w:proofErr w:type="spellEnd"/>
      <w:r>
        <w:t xml:space="preserve">, </w:t>
      </w:r>
      <w:proofErr w:type="spellStart"/>
      <w:r>
        <w:t>people_vaccinated</w:t>
      </w:r>
      <w:proofErr w:type="spellEnd"/>
      <w:r>
        <w:t xml:space="preserve">, </w:t>
      </w:r>
      <w:proofErr w:type="spellStart"/>
      <w:r>
        <w:t>pe</w:t>
      </w:r>
      <w:r>
        <w:t>o</w:t>
      </w:r>
      <w:r>
        <w:t>ple_fully_vaccinated</w:t>
      </w:r>
      <w:proofErr w:type="spellEnd"/>
      <w:r>
        <w:t>) were repaired using a forward-fill strategy applied per country group. This approach is appropriate because cumulative counts should only increase monotonically over time — a missing value on any given day most likely reflects a reporting gap rather than a true zero. Non-cumulative columns with remaining nulls after forward-fill were filled with 0.</w:t>
      </w:r>
    </w:p>
    <w:p w:rsidR="00955FA7" w:rsidRDefault="00B65BD0">
      <w:pPr>
        <w:pStyle w:val="Heading2"/>
      </w:pPr>
      <w:r>
        <w:t>8.3 Feature Engineering</w:t>
      </w:r>
    </w:p>
    <w:p w:rsidR="00955FA7" w:rsidRDefault="00B65BD0">
      <w:pPr>
        <w:spacing w:before="80" w:after="80"/>
        <w:jc w:val="both"/>
      </w:pPr>
      <w:r>
        <w:t>Six new analytical features were engineered from the cleaned base columns to support the downstream analysis and dashboard requirements:</w:t>
      </w:r>
    </w:p>
    <w:p w:rsidR="00955FA7" w:rsidRDefault="00955FA7">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3500"/>
        <w:gridCol w:w="3360"/>
      </w:tblGrid>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Feature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Formula</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Purpose</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death_rate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w:t>
            </w:r>
            <w:proofErr w:type="spellStart"/>
            <w:r>
              <w:rPr>
                <w:sz w:val="20"/>
                <w:szCs w:val="20"/>
              </w:rPr>
              <w:t>total_deaths</w:t>
            </w:r>
            <w:proofErr w:type="spellEnd"/>
            <w:r>
              <w:rPr>
                <w:sz w:val="20"/>
                <w:szCs w:val="20"/>
              </w:rPr>
              <w:t xml:space="preserve"> / </w:t>
            </w:r>
            <w:proofErr w:type="spellStart"/>
            <w:r>
              <w:rPr>
                <w:sz w:val="20"/>
                <w:szCs w:val="20"/>
              </w:rPr>
              <w:t>total_cases</w:t>
            </w:r>
            <w:proofErr w:type="spellEnd"/>
            <w:r>
              <w:rPr>
                <w:sz w:val="20"/>
                <w:szCs w:val="20"/>
              </w:rPr>
              <w:t>) × 100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Case fatality rate as percentage</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recovery_rate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 xml:space="preserve">100 − </w:t>
            </w:r>
            <w:proofErr w:type="spellStart"/>
            <w:r>
              <w:rPr>
                <w:sz w:val="20"/>
                <w:szCs w:val="20"/>
              </w:rPr>
              <w:t>death_rate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Proportion of cases that are non-fatal</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vaccination_rate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w:t>
            </w:r>
            <w:proofErr w:type="spellStart"/>
            <w:r>
              <w:rPr>
                <w:sz w:val="20"/>
                <w:szCs w:val="20"/>
              </w:rPr>
              <w:t>people_fully_vaccinated</w:t>
            </w:r>
            <w:proofErr w:type="spellEnd"/>
            <w:r>
              <w:rPr>
                <w:sz w:val="20"/>
                <w:szCs w:val="20"/>
              </w:rPr>
              <w:t xml:space="preserve"> / popul</w:t>
            </w:r>
            <w:r>
              <w:rPr>
                <w:sz w:val="20"/>
                <w:szCs w:val="20"/>
              </w:rPr>
              <w:t>a</w:t>
            </w:r>
            <w:r>
              <w:rPr>
                <w:sz w:val="20"/>
                <w:szCs w:val="20"/>
              </w:rPr>
              <w:t>tion) × 100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Fully vaccinated population pe</w:t>
            </w:r>
            <w:r>
              <w:rPr>
                <w:sz w:val="20"/>
                <w:szCs w:val="20"/>
              </w:rPr>
              <w:t>r</w:t>
            </w:r>
            <w:r>
              <w:rPr>
                <w:sz w:val="20"/>
                <w:szCs w:val="20"/>
              </w:rPr>
              <w:t>centage</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proofErr w:type="spellStart"/>
            <w:r>
              <w:rPr>
                <w:sz w:val="20"/>
                <w:szCs w:val="20"/>
              </w:rPr>
              <w:t>cases_per_million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w:t>
            </w:r>
            <w:proofErr w:type="spellStart"/>
            <w:r>
              <w:rPr>
                <w:sz w:val="20"/>
                <w:szCs w:val="20"/>
              </w:rPr>
              <w:t>total_cases</w:t>
            </w:r>
            <w:proofErr w:type="spellEnd"/>
            <w:r>
              <w:rPr>
                <w:sz w:val="20"/>
                <w:szCs w:val="20"/>
              </w:rPr>
              <w:t xml:space="preserve"> / population) × 1,000,000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Population-normalized case bu</w:t>
            </w:r>
            <w:r>
              <w:rPr>
                <w:sz w:val="20"/>
                <w:szCs w:val="20"/>
              </w:rPr>
              <w:t>r</w:t>
            </w:r>
            <w:r>
              <w:rPr>
                <w:sz w:val="20"/>
                <w:szCs w:val="20"/>
              </w:rPr>
              <w:t>den</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proofErr w:type="spellStart"/>
            <w:r>
              <w:rPr>
                <w:sz w:val="20"/>
                <w:szCs w:val="20"/>
              </w:rPr>
              <w:t>deaths_per_million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w:t>
            </w:r>
            <w:proofErr w:type="spellStart"/>
            <w:r>
              <w:rPr>
                <w:sz w:val="20"/>
                <w:szCs w:val="20"/>
              </w:rPr>
              <w:t>total_deaths</w:t>
            </w:r>
            <w:proofErr w:type="spellEnd"/>
            <w:r>
              <w:rPr>
                <w:sz w:val="20"/>
                <w:szCs w:val="20"/>
              </w:rPr>
              <w:t xml:space="preserve"> / population) × 1,000,000</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Population-normalized mortality burden</w:t>
            </w:r>
          </w:p>
        </w:tc>
      </w:tr>
      <w:tr w:rsidR="00955FA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new_cases_7day_avg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 xml:space="preserve">Rolling 7-day mean of </w:t>
            </w:r>
            <w:proofErr w:type="spellStart"/>
            <w:r>
              <w:rPr>
                <w:sz w:val="20"/>
                <w:szCs w:val="20"/>
              </w:rPr>
              <w:t>new_cases</w:t>
            </w:r>
            <w:proofErr w:type="spellEnd"/>
            <w:r>
              <w:rPr>
                <w:sz w:val="20"/>
                <w:szCs w:val="20"/>
              </w:rPr>
              <w:t xml:space="preserve"> per country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Smoothed daily case trend</w:t>
            </w:r>
          </w:p>
        </w:tc>
      </w:tr>
    </w:tbl>
    <w:p w:rsidR="00955FA7" w:rsidRDefault="00B65BD0">
      <w:r>
        <w:br w:type="page"/>
      </w:r>
    </w:p>
    <w:p w:rsidR="00955FA7" w:rsidRDefault="00B65BD0">
      <w:pPr>
        <w:pStyle w:val="Heading1"/>
        <w:pBdr>
          <w:bottom w:val="single" w:sz="6" w:space="1" w:color="2E75B6"/>
        </w:pBdr>
      </w:pPr>
      <w:r>
        <w:lastRenderedPageBreak/>
        <w:t>9. Load Phase</w:t>
      </w:r>
    </w:p>
    <w:p w:rsidR="00955FA7" w:rsidRDefault="00B65BD0">
      <w:pPr>
        <w:pStyle w:val="Heading2"/>
      </w:pPr>
      <w:r>
        <w:t>9.1 CSV Outputs (Power BI Ready)</w:t>
      </w:r>
    </w:p>
    <w:p w:rsidR="00955FA7" w:rsidRDefault="00B65BD0">
      <w:pPr>
        <w:spacing w:before="80" w:after="80"/>
        <w:jc w:val="both"/>
      </w:pPr>
      <w:r>
        <w:t>Four structured CSV files were generated from the cleaned, feature-engineered dataset, each scoped to the 10 focus countries and designed specifically for Power BI ingestion. Each CSV represents one analytical dimension of the project.</w:t>
      </w:r>
    </w:p>
    <w:p w:rsidR="00955FA7" w:rsidRDefault="00955FA7">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00"/>
        <w:gridCol w:w="1500"/>
        <w:gridCol w:w="1500"/>
        <w:gridCol w:w="2560"/>
      </w:tblGrid>
      <w:tr w:rsidR="00955FA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File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Rows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Columns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Purpose</w:t>
            </w:r>
          </w:p>
        </w:tc>
      </w:tr>
      <w:tr w:rsidR="00955FA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01_cases_deaths_trend.csv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~14,600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8</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Time-series for line and bar charts</w:t>
            </w:r>
          </w:p>
        </w:tc>
      </w:tr>
      <w:tr w:rsidR="00955FA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02_country_comparison.csv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Latest snapshot per cou</w:t>
            </w:r>
            <w:r>
              <w:rPr>
                <w:sz w:val="20"/>
                <w:szCs w:val="20"/>
              </w:rPr>
              <w:t>n</w:t>
            </w:r>
            <w:r>
              <w:rPr>
                <w:sz w:val="20"/>
                <w:szCs w:val="20"/>
              </w:rPr>
              <w:t>try for comparison</w:t>
            </w:r>
          </w:p>
        </w:tc>
      </w:tr>
      <w:tr w:rsidR="00955FA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03_vaccination_progress.csv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~14,600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8</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Vaccination rollout over time</w:t>
            </w:r>
          </w:p>
        </w:tc>
      </w:tr>
      <w:tr w:rsidR="00955FA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04_recovery_rate.csv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~14,600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Death and recovery rates over time</w:t>
            </w:r>
          </w:p>
        </w:tc>
      </w:tr>
    </w:tbl>
    <w:p w:rsidR="00955FA7" w:rsidRDefault="00955FA7">
      <w:pPr>
        <w:spacing w:before="120" w:after="120"/>
      </w:pPr>
    </w:p>
    <w:p w:rsidR="00955FA7" w:rsidRDefault="00B65BD0">
      <w:pPr>
        <w:pStyle w:val="Heading2"/>
      </w:pPr>
      <w:r>
        <w:t xml:space="preserve">9.2 </w:t>
      </w:r>
      <w:proofErr w:type="spellStart"/>
      <w:r>
        <w:t>SQLite</w:t>
      </w:r>
      <w:proofErr w:type="spellEnd"/>
      <w:r>
        <w:t xml:space="preserve"> Database</w:t>
      </w:r>
    </w:p>
    <w:p w:rsidR="00955FA7" w:rsidRDefault="00B65BD0">
      <w:pPr>
        <w:spacing w:before="80" w:after="80"/>
        <w:jc w:val="both"/>
      </w:pPr>
      <w:r>
        <w:t xml:space="preserve">In addition to CSV outputs, all data was loaded into a </w:t>
      </w:r>
      <w:proofErr w:type="spellStart"/>
      <w:r>
        <w:t>SQLite</w:t>
      </w:r>
      <w:proofErr w:type="spellEnd"/>
      <w:r>
        <w:t xml:space="preserve"> relational database (</w:t>
      </w:r>
      <w:proofErr w:type="spellStart"/>
      <w:r>
        <w:t>covid_etl.db</w:t>
      </w:r>
      <w:proofErr w:type="spellEnd"/>
      <w:r>
        <w:t xml:space="preserve">) using </w:t>
      </w:r>
      <w:proofErr w:type="spellStart"/>
      <w:r>
        <w:t>SQLAlchemy's</w:t>
      </w:r>
      <w:proofErr w:type="spellEnd"/>
      <w:r>
        <w:t xml:space="preserve"> </w:t>
      </w:r>
      <w:proofErr w:type="spellStart"/>
      <w:r>
        <w:t>to_</w:t>
      </w:r>
      <w:proofErr w:type="gramStart"/>
      <w:r>
        <w:t>sql</w:t>
      </w:r>
      <w:proofErr w:type="spellEnd"/>
      <w:r>
        <w:t>(</w:t>
      </w:r>
      <w:proofErr w:type="gramEnd"/>
      <w:r>
        <w:t xml:space="preserve">) method. The database contains five tables: </w:t>
      </w:r>
      <w:proofErr w:type="spellStart"/>
      <w:r>
        <w:t>covid_full</w:t>
      </w:r>
      <w:proofErr w:type="spellEnd"/>
      <w:r>
        <w:t xml:space="preserve"> (complete cleaned dataset), </w:t>
      </w:r>
      <w:proofErr w:type="spellStart"/>
      <w:r>
        <w:t>cases_deaths_trend</w:t>
      </w:r>
      <w:proofErr w:type="spellEnd"/>
      <w:r>
        <w:t xml:space="preserve">, </w:t>
      </w:r>
      <w:proofErr w:type="spellStart"/>
      <w:r>
        <w:t>country_comparison</w:t>
      </w:r>
      <w:proofErr w:type="spellEnd"/>
      <w:r>
        <w:t xml:space="preserve">, </w:t>
      </w:r>
      <w:proofErr w:type="spellStart"/>
      <w:r>
        <w:t>vaccination_progress</w:t>
      </w:r>
      <w:proofErr w:type="spellEnd"/>
      <w:r>
        <w:t xml:space="preserve">, and </w:t>
      </w:r>
      <w:proofErr w:type="spellStart"/>
      <w:r>
        <w:t>reco</w:t>
      </w:r>
      <w:r>
        <w:t>v</w:t>
      </w:r>
      <w:r>
        <w:t>ery_rate</w:t>
      </w:r>
      <w:proofErr w:type="spellEnd"/>
      <w:r>
        <w:t>. SQL queries were used to verify data integrity and generate the post-load quality summary.</w:t>
      </w:r>
    </w:p>
    <w:p w:rsidR="00955FA7" w:rsidRDefault="00B65BD0">
      <w:pPr>
        <w:pStyle w:val="Heading2"/>
      </w:pPr>
      <w:r>
        <w:t>9.3 Load Verification</w:t>
      </w:r>
    </w:p>
    <w:p w:rsidR="00955FA7" w:rsidRDefault="00B65BD0">
      <w:pPr>
        <w:spacing w:before="80" w:after="80"/>
        <w:jc w:val="both"/>
      </w:pPr>
      <w:r>
        <w:t xml:space="preserve">All outputs were verified post-load using both Pandas </w:t>
      </w:r>
      <w:proofErr w:type="spellStart"/>
      <w:r>
        <w:t>read_</w:t>
      </w:r>
      <w:proofErr w:type="gramStart"/>
      <w:r>
        <w:t>csv</w:t>
      </w:r>
      <w:proofErr w:type="spellEnd"/>
      <w:r>
        <w:t>(</w:t>
      </w:r>
      <w:proofErr w:type="gramEnd"/>
      <w:r>
        <w:t xml:space="preserve">) re-import checks and SQL COUNT queries executed against the </w:t>
      </w:r>
      <w:proofErr w:type="spellStart"/>
      <w:r>
        <w:t>SQLite</w:t>
      </w:r>
      <w:proofErr w:type="spellEnd"/>
      <w:r>
        <w:t xml:space="preserve"> database. Verification confirmed row counts, schema integrity, and absence of null values across all tables and CSV files.</w:t>
      </w:r>
    </w:p>
    <w:p w:rsidR="00955FA7" w:rsidRDefault="00B65BD0">
      <w:r>
        <w:br w:type="page"/>
      </w:r>
    </w:p>
    <w:p w:rsidR="00955FA7" w:rsidRDefault="00B65BD0">
      <w:pPr>
        <w:pStyle w:val="Heading1"/>
        <w:pBdr>
          <w:bottom w:val="single" w:sz="6" w:space="1" w:color="2E75B6"/>
        </w:pBdr>
      </w:pPr>
      <w:r>
        <w:lastRenderedPageBreak/>
        <w:t>10. Analysis 1 — Cases &amp; Deaths Trend</w:t>
      </w:r>
    </w:p>
    <w:p w:rsidR="00955FA7" w:rsidRDefault="00B65BD0">
      <w:pPr>
        <w:spacing w:before="80" w:after="80"/>
        <w:jc w:val="both"/>
      </w:pPr>
      <w:r>
        <w:t>The cases and deaths trend analysis examines how the COVID-19 epidemic evolved over time across the top 5 countries by total case count: United States, India, Brazil, France, and Germ</w:t>
      </w:r>
      <w:r>
        <w:t>a</w:t>
      </w:r>
      <w:r>
        <w:t xml:space="preserve">ny. A </w:t>
      </w:r>
      <w:proofErr w:type="spellStart"/>
      <w:r>
        <w:t>Matplotlib</w:t>
      </w:r>
      <w:proofErr w:type="spellEnd"/>
      <w:r>
        <w:t xml:space="preserve"> line chart was generated plotting total cases in millions against date for all five countries.</w:t>
      </w:r>
    </w:p>
    <w:p w:rsidR="00955FA7" w:rsidRDefault="00B65BD0">
      <w:pPr>
        <w:pStyle w:val="Heading2"/>
      </w:pPr>
      <w:r>
        <w:t>10.1 Key Observations</w:t>
      </w:r>
    </w:p>
    <w:p w:rsidR="00955FA7" w:rsidRDefault="00B65BD0">
      <w:pPr>
        <w:pStyle w:val="ListParagraph"/>
        <w:numPr>
          <w:ilvl w:val="0"/>
          <w:numId w:val="2"/>
        </w:numPr>
        <w:spacing w:before="60" w:after="60"/>
      </w:pPr>
      <w:r>
        <w:t>The United States reported the highest cumulative case count throughout the observ</w:t>
      </w:r>
      <w:r>
        <w:t>a</w:t>
      </w:r>
      <w:r>
        <w:t>tion period, exceeding 100 million confirmed cases by late 2022</w:t>
      </w:r>
    </w:p>
    <w:p w:rsidR="00955FA7" w:rsidRDefault="00B65BD0">
      <w:pPr>
        <w:pStyle w:val="ListParagraph"/>
        <w:numPr>
          <w:ilvl w:val="0"/>
          <w:numId w:val="2"/>
        </w:numPr>
        <w:spacing w:before="60" w:after="60"/>
      </w:pPr>
      <w:r>
        <w:t>India experienced a sharp exponential surge during the Delta wave (April–June 2021), briefly overtaking Brazil in daily case velocity</w:t>
      </w:r>
    </w:p>
    <w:p w:rsidR="00955FA7" w:rsidRDefault="00B65BD0">
      <w:pPr>
        <w:pStyle w:val="ListParagraph"/>
        <w:numPr>
          <w:ilvl w:val="0"/>
          <w:numId w:val="2"/>
        </w:numPr>
        <w:spacing w:before="60" w:after="60"/>
      </w:pPr>
      <w:r>
        <w:t>France and Germany showed multiple distinct waves corresponding to Alpha, Delta, and Omicron variant emergence patterns</w:t>
      </w:r>
    </w:p>
    <w:p w:rsidR="00955FA7" w:rsidRDefault="00B65BD0">
      <w:pPr>
        <w:pStyle w:val="ListParagraph"/>
        <w:numPr>
          <w:ilvl w:val="0"/>
          <w:numId w:val="2"/>
        </w:numPr>
        <w:spacing w:before="60" w:after="60"/>
      </w:pPr>
      <w:r>
        <w:t>Brazil maintained a consistently high but relatively steady case trajectory with less pr</w:t>
      </w:r>
      <w:r>
        <w:t>o</w:t>
      </w:r>
      <w:r>
        <w:t>nounced wave behavior compared to European nations</w:t>
      </w:r>
    </w:p>
    <w:p w:rsidR="00955FA7" w:rsidRDefault="00B65BD0">
      <w:pPr>
        <w:pStyle w:val="ListParagraph"/>
        <w:numPr>
          <w:ilvl w:val="0"/>
          <w:numId w:val="2"/>
        </w:numPr>
        <w:spacing w:before="60" w:after="60"/>
      </w:pPr>
      <w:r>
        <w:t>The 7-day rolling average smoothed daily reporting noise and clearly revealed wave o</w:t>
      </w:r>
      <w:r>
        <w:t>n</w:t>
      </w:r>
      <w:r>
        <w:t>set and decline periods across all five nations</w:t>
      </w:r>
    </w:p>
    <w:p w:rsidR="00955FA7" w:rsidRDefault="00B65BD0">
      <w:pPr>
        <w:pStyle w:val="Heading2"/>
      </w:pPr>
      <w:r>
        <w:t>10.2 Chart Description</w:t>
      </w:r>
    </w:p>
    <w:p w:rsidR="00955FA7" w:rsidRDefault="00B65BD0">
      <w:pPr>
        <w:spacing w:before="80" w:after="80"/>
        <w:jc w:val="both"/>
      </w:pPr>
      <w:r>
        <w:t>The line chart uses distinct color coding per country with a dark grid background for visual clar</w:t>
      </w:r>
      <w:r>
        <w:t>i</w:t>
      </w:r>
      <w:r>
        <w:t>ty. The y-axis is scaled in millions for readability. Date ticks are automatically spaced at quarte</w:t>
      </w:r>
      <w:r>
        <w:t>r</w:t>
      </w:r>
      <w:r>
        <w:t xml:space="preserve">ly intervals. The chart was saved at 150 DPI </w:t>
      </w:r>
      <w:proofErr w:type="gramStart"/>
      <w:r>
        <w:t>resolution</w:t>
      </w:r>
      <w:proofErr w:type="gramEnd"/>
      <w:r>
        <w:t xml:space="preserve"> for inclusion in the Power BI dashboard and this report.</w:t>
      </w:r>
    </w:p>
    <w:p w:rsidR="00955FA7" w:rsidRDefault="00B65BD0">
      <w:r>
        <w:br w:type="page"/>
      </w:r>
    </w:p>
    <w:p w:rsidR="00955FA7" w:rsidRDefault="00B65BD0">
      <w:pPr>
        <w:pStyle w:val="Heading1"/>
        <w:pBdr>
          <w:bottom w:val="single" w:sz="6" w:space="1" w:color="2E75B6"/>
        </w:pBdr>
      </w:pPr>
      <w:r>
        <w:lastRenderedPageBreak/>
        <w:t>11. Analysis 2 — Country-wise Comparison</w:t>
      </w:r>
    </w:p>
    <w:p w:rsidR="00955FA7" w:rsidRDefault="00B65BD0">
      <w:pPr>
        <w:spacing w:before="80" w:after="80"/>
        <w:jc w:val="both"/>
      </w:pPr>
      <w:r>
        <w:t>The country comparison analysis uses a latest-snapshot dataset representing each country's most recent recorded values. A horizontal bar chart ranked countries by death rate percentage, revealing significant variation in case fatality rates across the 10 focus countries.</w:t>
      </w:r>
    </w:p>
    <w:p w:rsidR="00955FA7" w:rsidRDefault="00B65BD0">
      <w:pPr>
        <w:pStyle w:val="Heading2"/>
      </w:pPr>
      <w:r>
        <w:t>11.1 Country Comparison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1800"/>
        <w:gridCol w:w="1500"/>
        <w:gridCol w:w="1600"/>
        <w:gridCol w:w="2460"/>
      </w:tblGrid>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Total Cases (M)</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Total Deaths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Death Rate %</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Cases/Million</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United States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103.4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1,127,000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1.09%</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308,420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India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44.7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530,000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1.19%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31,840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Brazil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37.1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702,000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1.89%</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172,300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France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38.4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167,000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0.43%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585,200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Germany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38.4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174,000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0.45%</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457,800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United Kingdom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24.5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227,000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0.93%</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360,200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Russia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22.3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393,000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1.76%</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151,900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South Africa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4.07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102,000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2.50%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67,100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Japan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33.8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74,000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0.22%</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268,200</w:t>
            </w:r>
          </w:p>
        </w:tc>
      </w:tr>
      <w:tr w:rsidR="00955FA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Australia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11.3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22,000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0.19%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430,100</w:t>
            </w:r>
          </w:p>
        </w:tc>
      </w:tr>
    </w:tbl>
    <w:p w:rsidR="00955FA7" w:rsidRDefault="00B65BD0">
      <w:r>
        <w:br w:type="page"/>
      </w:r>
    </w:p>
    <w:p w:rsidR="00955FA7" w:rsidRDefault="00B65BD0">
      <w:pPr>
        <w:pStyle w:val="Heading1"/>
        <w:pBdr>
          <w:bottom w:val="single" w:sz="6" w:space="1" w:color="2E75B6"/>
        </w:pBdr>
      </w:pPr>
      <w:r>
        <w:lastRenderedPageBreak/>
        <w:t>12. Analysis 3 — Vaccination Progress</w:t>
      </w:r>
    </w:p>
    <w:p w:rsidR="00955FA7" w:rsidRDefault="00B65BD0">
      <w:pPr>
        <w:spacing w:before="80" w:after="80"/>
        <w:jc w:val="both"/>
      </w:pPr>
      <w:r>
        <w:t>The vaccination progress analysis tracks the percentage of each country's population that achieved full vaccination status. A bar chart ranked countries by vaccination rate revealed stark disparities between high-income and middle-income nations.</w:t>
      </w:r>
    </w:p>
    <w:p w:rsidR="00955FA7" w:rsidRDefault="00B65BD0">
      <w:pPr>
        <w:pStyle w:val="Heading2"/>
      </w:pPr>
      <w:r>
        <w:t>12.1 Key Observations</w:t>
      </w:r>
    </w:p>
    <w:p w:rsidR="00955FA7" w:rsidRDefault="00B65BD0">
      <w:pPr>
        <w:pStyle w:val="ListParagraph"/>
        <w:numPr>
          <w:ilvl w:val="0"/>
          <w:numId w:val="2"/>
        </w:numPr>
        <w:spacing w:before="60" w:after="60"/>
      </w:pPr>
      <w:r>
        <w:t>Japan achieved the highest vaccination rate among the 10 focus countries, exceeding 80% fully vaccinated population by end-2022</w:t>
      </w:r>
    </w:p>
    <w:p w:rsidR="00955FA7" w:rsidRDefault="00B65BD0">
      <w:pPr>
        <w:pStyle w:val="ListParagraph"/>
        <w:numPr>
          <w:ilvl w:val="0"/>
          <w:numId w:val="2"/>
        </w:numPr>
        <w:spacing w:before="60" w:after="60"/>
      </w:pPr>
      <w:r>
        <w:t>Australia and Germany both surpassed 70% full vaccination coverage, reflecting effe</w:t>
      </w:r>
      <w:r>
        <w:t>c</w:t>
      </w:r>
      <w:r>
        <w:t>tive rollout programs</w:t>
      </w:r>
    </w:p>
    <w:p w:rsidR="00955FA7" w:rsidRDefault="00B65BD0">
      <w:pPr>
        <w:pStyle w:val="ListParagraph"/>
        <w:numPr>
          <w:ilvl w:val="0"/>
          <w:numId w:val="2"/>
        </w:numPr>
        <w:spacing w:before="60" w:after="60"/>
      </w:pPr>
      <w:r>
        <w:t>South Africa and India showed relatively lower vaccination rates (below 30–35%) due to supply constraints and distribution challenges in the earlier rollout period</w:t>
      </w:r>
    </w:p>
    <w:p w:rsidR="00955FA7" w:rsidRDefault="00B65BD0">
      <w:pPr>
        <w:pStyle w:val="ListParagraph"/>
        <w:numPr>
          <w:ilvl w:val="0"/>
          <w:numId w:val="2"/>
        </w:numPr>
        <w:spacing w:before="60" w:after="60"/>
      </w:pPr>
      <w:r>
        <w:t>Russia's official vaccination data showed moderate uptake around 50% despite early development of the Sputnik V vaccine</w:t>
      </w:r>
    </w:p>
    <w:p w:rsidR="00955FA7" w:rsidRDefault="00B65BD0">
      <w:pPr>
        <w:pStyle w:val="ListParagraph"/>
        <w:numPr>
          <w:ilvl w:val="0"/>
          <w:numId w:val="2"/>
        </w:numPr>
        <w:spacing w:before="60" w:after="60"/>
      </w:pPr>
      <w:r>
        <w:t xml:space="preserve">The United States achieved approximately 68% full vaccination rate, with rollout </w:t>
      </w:r>
      <w:proofErr w:type="spellStart"/>
      <w:r>
        <w:t>pla</w:t>
      </w:r>
      <w:r>
        <w:t>t</w:t>
      </w:r>
      <w:r>
        <w:t>eauing</w:t>
      </w:r>
      <w:proofErr w:type="spellEnd"/>
      <w:r>
        <w:t xml:space="preserve"> through mid-2022</w:t>
      </w:r>
    </w:p>
    <w:p w:rsidR="00955FA7" w:rsidRDefault="00B65BD0">
      <w:r>
        <w:br w:type="page"/>
      </w:r>
    </w:p>
    <w:p w:rsidR="00955FA7" w:rsidRDefault="00B65BD0">
      <w:pPr>
        <w:pStyle w:val="Heading1"/>
        <w:pBdr>
          <w:bottom w:val="single" w:sz="6" w:space="1" w:color="2E75B6"/>
        </w:pBdr>
      </w:pPr>
      <w:r>
        <w:lastRenderedPageBreak/>
        <w:t>13. Analysis 4 — Recovery Rate Analysis</w:t>
      </w:r>
    </w:p>
    <w:p w:rsidR="00955FA7" w:rsidRDefault="00B65BD0">
      <w:pPr>
        <w:spacing w:before="80" w:after="80"/>
        <w:jc w:val="both"/>
      </w:pPr>
      <w:r>
        <w:t>Recovery rate is calculated as 100 minus the case fatality rate (death rate), representing the proportion of confirmed COVID-19 cases that did not result in death. This metric provides a po</w:t>
      </w:r>
      <w:r>
        <w:t>s</w:t>
      </w:r>
      <w:r>
        <w:t>itive framing of pandemic outcomes and correlates with healthcare system capacity and variant severity.</w:t>
      </w:r>
    </w:p>
    <w:p w:rsidR="00955FA7" w:rsidRDefault="00B65BD0">
      <w:pPr>
        <w:pStyle w:val="Heading2"/>
      </w:pPr>
      <w:r>
        <w:t>13.1 Key Observations</w:t>
      </w:r>
    </w:p>
    <w:p w:rsidR="00955FA7" w:rsidRDefault="00B65BD0">
      <w:pPr>
        <w:pStyle w:val="ListParagraph"/>
        <w:numPr>
          <w:ilvl w:val="0"/>
          <w:numId w:val="2"/>
        </w:numPr>
        <w:spacing w:before="60" w:after="60"/>
      </w:pPr>
      <w:r>
        <w:t>Australia recorded the highest recovery rate (99.81%) among focus countries, reflective of its zero-COVID strategy and strong healthcare infrastructure</w:t>
      </w:r>
    </w:p>
    <w:p w:rsidR="00955FA7" w:rsidRDefault="00B65BD0">
      <w:pPr>
        <w:pStyle w:val="ListParagraph"/>
        <w:numPr>
          <w:ilvl w:val="0"/>
          <w:numId w:val="2"/>
        </w:numPr>
        <w:spacing w:before="60" w:after="60"/>
      </w:pPr>
      <w:r>
        <w:t>Japan maintained a 99.78% recovery rate, consistent with its low mortality outcomes throughout the pandemic</w:t>
      </w:r>
    </w:p>
    <w:p w:rsidR="00955FA7" w:rsidRDefault="00B65BD0">
      <w:pPr>
        <w:pStyle w:val="ListParagraph"/>
        <w:numPr>
          <w:ilvl w:val="0"/>
          <w:numId w:val="2"/>
        </w:numPr>
        <w:spacing w:before="60" w:after="60"/>
      </w:pPr>
      <w:r>
        <w:t>South Africa showed the lowest recovery rate (97.50%) among the focus group, reflec</w:t>
      </w:r>
      <w:r>
        <w:t>t</w:t>
      </w:r>
      <w:r>
        <w:t>ing healthcare system stress during severe wave periods</w:t>
      </w:r>
    </w:p>
    <w:p w:rsidR="00955FA7" w:rsidRDefault="00B65BD0">
      <w:pPr>
        <w:pStyle w:val="ListParagraph"/>
        <w:numPr>
          <w:ilvl w:val="0"/>
          <w:numId w:val="2"/>
        </w:numPr>
        <w:spacing w:before="60" w:after="60"/>
      </w:pPr>
      <w:r>
        <w:t>Recovery rates generally improved over time across all countries as vaccination rollout progressed and less lethal Omicron variants became dominant</w:t>
      </w:r>
    </w:p>
    <w:p w:rsidR="00955FA7" w:rsidRDefault="00B65BD0">
      <w:pPr>
        <w:pStyle w:val="ListParagraph"/>
        <w:numPr>
          <w:ilvl w:val="0"/>
          <w:numId w:val="2"/>
        </w:numPr>
        <w:spacing w:before="60" w:after="60"/>
      </w:pPr>
      <w:r>
        <w:t>The correlation between high vaccination rate and high recovery rate was consistent across the dataset</w:t>
      </w:r>
    </w:p>
    <w:p w:rsidR="00955FA7" w:rsidRDefault="00B65BD0">
      <w:r>
        <w:br w:type="page"/>
      </w:r>
    </w:p>
    <w:p w:rsidR="00955FA7" w:rsidRDefault="00B65BD0">
      <w:pPr>
        <w:pStyle w:val="Heading1"/>
        <w:pBdr>
          <w:bottom w:val="single" w:sz="6" w:space="1" w:color="2E75B6"/>
        </w:pBdr>
      </w:pPr>
      <w:r>
        <w:lastRenderedPageBreak/>
        <w:t>14. Power BI Dashboard Overview</w:t>
      </w:r>
    </w:p>
    <w:p w:rsidR="00955FA7" w:rsidRDefault="00B65BD0">
      <w:pPr>
        <w:pStyle w:val="Heading2"/>
      </w:pPr>
      <w:r>
        <w:t>14.1 Dashboard Structure</w:t>
      </w:r>
    </w:p>
    <w:p w:rsidR="00955FA7" w:rsidRDefault="00B65BD0">
      <w:pPr>
        <w:spacing w:before="80" w:after="80"/>
        <w:jc w:val="both"/>
      </w:pPr>
      <w:r>
        <w:t>The Power BI dashboard was built by importing the four cleaned CSV files as data sources. R</w:t>
      </w:r>
      <w:r>
        <w:t>e</w:t>
      </w:r>
      <w:r>
        <w:t>lationships between tables were established on the location and date fields to enable cross-filtering across all four dashboard pages.</w:t>
      </w:r>
    </w:p>
    <w:p w:rsidR="00955FA7" w:rsidRDefault="00955FA7">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0"/>
        <w:gridCol w:w="1800"/>
        <w:gridCol w:w="3500"/>
        <w:gridCol w:w="3160"/>
      </w:tblGrid>
      <w:tr w:rsidR="00955FA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Page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Title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Key Visuals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55FA7" w:rsidRDefault="00B65BD0">
            <w:pPr>
              <w:jc w:val="center"/>
            </w:pPr>
            <w:r>
              <w:rPr>
                <w:b/>
                <w:bCs/>
                <w:color w:val="FFFFFF"/>
                <w:sz w:val="20"/>
                <w:szCs w:val="20"/>
              </w:rPr>
              <w:t>Data Source</w:t>
            </w:r>
          </w:p>
        </w:tc>
      </w:tr>
      <w:tr w:rsidR="00955FA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Page 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Overview</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 xml:space="preserve">KPI cards, World </w:t>
            </w:r>
            <w:proofErr w:type="spellStart"/>
            <w:r>
              <w:rPr>
                <w:sz w:val="20"/>
                <w:szCs w:val="20"/>
              </w:rPr>
              <w:t>choropleth</w:t>
            </w:r>
            <w:proofErr w:type="spellEnd"/>
            <w:r>
              <w:rPr>
                <w:sz w:val="20"/>
                <w:szCs w:val="20"/>
              </w:rPr>
              <w:t xml:space="preserve"> map, Summary table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covid_cleaned_full.csv</w:t>
            </w:r>
          </w:p>
        </w:tc>
      </w:tr>
      <w:tr w:rsidR="00955FA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Page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Cases &amp; Deaths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Line chart (trend), Bar chart (daily new cases), Slicer (country)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01_cases_deaths_trend.csv</w:t>
            </w:r>
          </w:p>
        </w:tc>
      </w:tr>
      <w:tr w:rsidR="00955FA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Page 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Country Compa</w:t>
            </w:r>
            <w:r>
              <w:rPr>
                <w:sz w:val="20"/>
                <w:szCs w:val="20"/>
              </w:rPr>
              <w:t>r</w:t>
            </w:r>
            <w:r>
              <w:rPr>
                <w:sz w:val="20"/>
                <w:szCs w:val="20"/>
              </w:rPr>
              <w:t>ison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 xml:space="preserve">Clustered bar chart, Scatter plot (cases </w:t>
            </w:r>
            <w:proofErr w:type="spellStart"/>
            <w:r>
              <w:rPr>
                <w:sz w:val="20"/>
                <w:szCs w:val="20"/>
              </w:rPr>
              <w:t>vs</w:t>
            </w:r>
            <w:proofErr w:type="spellEnd"/>
            <w:r>
              <w:rPr>
                <w:sz w:val="20"/>
                <w:szCs w:val="20"/>
              </w:rPr>
              <w:t xml:space="preserve"> deaths), Data table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955FA7" w:rsidRDefault="00B65BD0">
            <w:r>
              <w:rPr>
                <w:sz w:val="20"/>
                <w:szCs w:val="20"/>
              </w:rPr>
              <w:t>02_country_comparison.csv</w:t>
            </w:r>
          </w:p>
        </w:tc>
      </w:tr>
      <w:tr w:rsidR="00955FA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Page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Vaccination &amp; Recovery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Stacked bar (vaccination), Gauge chart (recovery rate), Line (</w:t>
            </w:r>
            <w:proofErr w:type="spellStart"/>
            <w:r>
              <w:rPr>
                <w:sz w:val="20"/>
                <w:szCs w:val="20"/>
              </w:rPr>
              <w:t>vax</w:t>
            </w:r>
            <w:proofErr w:type="spellEnd"/>
            <w:r>
              <w:rPr>
                <w:sz w:val="20"/>
                <w:szCs w:val="20"/>
              </w:rPr>
              <w:t xml:space="preserve"> over time)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55FA7" w:rsidRDefault="00B65BD0">
            <w:r>
              <w:rPr>
                <w:sz w:val="20"/>
                <w:szCs w:val="20"/>
              </w:rPr>
              <w:t>03_vaccination_progress.csv + 04_recovery_rate.csv</w:t>
            </w:r>
          </w:p>
        </w:tc>
      </w:tr>
    </w:tbl>
    <w:p w:rsidR="00955FA7" w:rsidRDefault="00955FA7">
      <w:pPr>
        <w:spacing w:before="120" w:after="120"/>
      </w:pPr>
    </w:p>
    <w:p w:rsidR="00955FA7" w:rsidRDefault="00B65BD0">
      <w:pPr>
        <w:pStyle w:val="Heading2"/>
      </w:pPr>
      <w:r>
        <w:t>14.2 KPI Cards (Page 1)</w:t>
      </w:r>
    </w:p>
    <w:p w:rsidR="00955FA7" w:rsidRDefault="00B65BD0">
      <w:pPr>
        <w:pStyle w:val="ListParagraph"/>
        <w:numPr>
          <w:ilvl w:val="0"/>
          <w:numId w:val="2"/>
        </w:numPr>
        <w:spacing w:before="60" w:after="60"/>
      </w:pPr>
      <w:r>
        <w:t>Total Global Cases: 770M+</w:t>
      </w:r>
    </w:p>
    <w:p w:rsidR="00955FA7" w:rsidRDefault="00B65BD0">
      <w:pPr>
        <w:pStyle w:val="ListParagraph"/>
        <w:numPr>
          <w:ilvl w:val="0"/>
          <w:numId w:val="2"/>
        </w:numPr>
        <w:spacing w:before="60" w:after="60"/>
      </w:pPr>
      <w:r>
        <w:t>Total Global Deaths: 7.0M+</w:t>
      </w:r>
    </w:p>
    <w:p w:rsidR="00955FA7" w:rsidRDefault="00B65BD0">
      <w:pPr>
        <w:pStyle w:val="ListParagraph"/>
        <w:numPr>
          <w:ilvl w:val="0"/>
          <w:numId w:val="2"/>
        </w:numPr>
        <w:spacing w:before="60" w:after="60"/>
      </w:pPr>
      <w:r>
        <w:t>Total Vaccinations Administered: 13.5B+</w:t>
      </w:r>
    </w:p>
    <w:p w:rsidR="00955FA7" w:rsidRDefault="00B65BD0">
      <w:pPr>
        <w:pStyle w:val="ListParagraph"/>
        <w:numPr>
          <w:ilvl w:val="0"/>
          <w:numId w:val="2"/>
        </w:numPr>
        <w:spacing w:before="60" w:after="60"/>
      </w:pPr>
      <w:r>
        <w:t>Average Global Death Rate: 1.02%</w:t>
      </w:r>
    </w:p>
    <w:p w:rsidR="00955FA7" w:rsidRDefault="00B65BD0">
      <w:r>
        <w:br w:type="page"/>
      </w:r>
    </w:p>
    <w:p w:rsidR="00955FA7" w:rsidRDefault="00B65BD0">
      <w:pPr>
        <w:pStyle w:val="Heading1"/>
        <w:pBdr>
          <w:bottom w:val="single" w:sz="6" w:space="1" w:color="2E75B6"/>
        </w:pBdr>
      </w:pPr>
      <w:r>
        <w:lastRenderedPageBreak/>
        <w:t>15. Key Findings &amp; Insights</w:t>
      </w:r>
    </w:p>
    <w:p w:rsidR="00955FA7" w:rsidRDefault="00B65BD0">
      <w:pPr>
        <w:pStyle w:val="Heading2"/>
      </w:pPr>
      <w:r>
        <w:t>15.1 Epidemiological Findings</w:t>
      </w:r>
    </w:p>
    <w:p w:rsidR="00955FA7" w:rsidRDefault="00B65BD0">
      <w:pPr>
        <w:pStyle w:val="ListParagraph"/>
        <w:numPr>
          <w:ilvl w:val="0"/>
          <w:numId w:val="2"/>
        </w:numPr>
        <w:spacing w:before="60" w:after="60"/>
      </w:pPr>
      <w:r>
        <w:t>Global COVID-19 cases exceeded 770 million by end of 2023, with 7 million+ confirmed deaths representing an average case fatality rate of approximately 1.02%</w:t>
      </w:r>
    </w:p>
    <w:p w:rsidR="00955FA7" w:rsidRDefault="00B65BD0">
      <w:pPr>
        <w:pStyle w:val="ListParagraph"/>
        <w:numPr>
          <w:ilvl w:val="0"/>
          <w:numId w:val="2"/>
        </w:numPr>
        <w:spacing w:before="60" w:after="60"/>
      </w:pPr>
      <w:r>
        <w:t>The United States, India, and Brazil collectively accounted for over 50% of all global co</w:t>
      </w:r>
      <w:r>
        <w:t>n</w:t>
      </w:r>
      <w:r>
        <w:t>firmed cases</w:t>
      </w:r>
    </w:p>
    <w:p w:rsidR="00955FA7" w:rsidRDefault="00B65BD0">
      <w:pPr>
        <w:pStyle w:val="ListParagraph"/>
        <w:numPr>
          <w:ilvl w:val="0"/>
          <w:numId w:val="2"/>
        </w:numPr>
        <w:spacing w:before="60" w:after="60"/>
      </w:pPr>
      <w:r>
        <w:t>South Africa recorded the highest death rate (2.50%) among focus countries, while Au</w:t>
      </w:r>
      <w:r>
        <w:t>s</w:t>
      </w:r>
      <w:r>
        <w:t>tralia and Japan maintained the lowest rates below 0.22%</w:t>
      </w:r>
    </w:p>
    <w:p w:rsidR="00955FA7" w:rsidRDefault="00B65BD0">
      <w:pPr>
        <w:pStyle w:val="ListParagraph"/>
        <w:numPr>
          <w:ilvl w:val="0"/>
          <w:numId w:val="2"/>
        </w:numPr>
        <w:spacing w:before="60" w:after="60"/>
      </w:pPr>
      <w:r>
        <w:t>The Omicron wave (late 2021 – early 2022) produced the highest daily case counts globally but was associated with lower death rates compared to the Delta wave</w:t>
      </w:r>
    </w:p>
    <w:p w:rsidR="00955FA7" w:rsidRDefault="00B65BD0">
      <w:pPr>
        <w:pStyle w:val="Heading2"/>
      </w:pPr>
      <w:r>
        <w:t>15.2 Vaccination Insights</w:t>
      </w:r>
    </w:p>
    <w:p w:rsidR="00955FA7" w:rsidRDefault="00B65BD0">
      <w:pPr>
        <w:pStyle w:val="ListParagraph"/>
        <w:numPr>
          <w:ilvl w:val="0"/>
          <w:numId w:val="2"/>
        </w:numPr>
        <w:spacing w:before="60" w:after="60"/>
      </w:pPr>
      <w:r>
        <w:t>Japan and Australia achieved the highest full vaccination rates (80%+ and 72% respe</w:t>
      </w:r>
      <w:r>
        <w:t>c</w:t>
      </w:r>
      <w:r>
        <w:t>tively) within the focus country group</w:t>
      </w:r>
    </w:p>
    <w:p w:rsidR="00955FA7" w:rsidRDefault="00B65BD0">
      <w:pPr>
        <w:pStyle w:val="ListParagraph"/>
        <w:numPr>
          <w:ilvl w:val="0"/>
          <w:numId w:val="2"/>
        </w:numPr>
        <w:spacing w:before="60" w:after="60"/>
      </w:pPr>
      <w:r>
        <w:t>A positive correlation was observed between higher vaccination rates and lower death rates in the latest-period data</w:t>
      </w:r>
    </w:p>
    <w:p w:rsidR="00955FA7" w:rsidRDefault="00B65BD0">
      <w:pPr>
        <w:pStyle w:val="ListParagraph"/>
        <w:numPr>
          <w:ilvl w:val="0"/>
          <w:numId w:val="2"/>
        </w:numPr>
        <w:spacing w:before="60" w:after="60"/>
      </w:pPr>
      <w:r>
        <w:t>Low-income and lower-middle-income countries showed substantially lower vaccination rates, reflecting inequitable global vaccine distribution</w:t>
      </w:r>
    </w:p>
    <w:p w:rsidR="00955FA7" w:rsidRDefault="00B65BD0">
      <w:pPr>
        <w:pStyle w:val="Heading2"/>
      </w:pPr>
      <w:r>
        <w:t>15.3 Data Engineering Insights</w:t>
      </w:r>
    </w:p>
    <w:p w:rsidR="00955FA7" w:rsidRDefault="00B65BD0">
      <w:pPr>
        <w:pStyle w:val="ListParagraph"/>
        <w:numPr>
          <w:ilvl w:val="0"/>
          <w:numId w:val="2"/>
        </w:numPr>
        <w:spacing w:before="60" w:after="60"/>
      </w:pPr>
      <w:r>
        <w:t>Forward-fill imputation was critical for cumulative columns — naive zero-fill would have artificially deflated vaccination rate calculations</w:t>
      </w:r>
    </w:p>
    <w:p w:rsidR="00955FA7" w:rsidRDefault="00B65BD0">
      <w:pPr>
        <w:pStyle w:val="ListParagraph"/>
        <w:numPr>
          <w:ilvl w:val="0"/>
          <w:numId w:val="2"/>
        </w:numPr>
        <w:spacing w:before="60" w:after="60"/>
      </w:pPr>
      <w:r>
        <w:t>Removing non-country aggregate rows reduced dataset size by approximately 12% while eliminating all double-counting risk</w:t>
      </w:r>
    </w:p>
    <w:p w:rsidR="00955FA7" w:rsidRDefault="00B65BD0">
      <w:pPr>
        <w:pStyle w:val="ListParagraph"/>
        <w:numPr>
          <w:ilvl w:val="0"/>
          <w:numId w:val="2"/>
        </w:numPr>
        <w:spacing w:before="60" w:after="60"/>
      </w:pPr>
      <w:r>
        <w:t>Population normalization (cases per million) is essential for meaningful country compar</w:t>
      </w:r>
      <w:r>
        <w:t>i</w:t>
      </w:r>
      <w:r>
        <w:t>son — raw case counts heavily favor large-population nations</w:t>
      </w:r>
    </w:p>
    <w:p w:rsidR="00955FA7" w:rsidRDefault="00B65BD0">
      <w:r>
        <w:br w:type="page"/>
      </w:r>
    </w:p>
    <w:p w:rsidR="00955FA7" w:rsidRDefault="00B65BD0">
      <w:pPr>
        <w:pStyle w:val="Heading1"/>
        <w:pBdr>
          <w:bottom w:val="single" w:sz="6" w:space="1" w:color="2E75B6"/>
        </w:pBdr>
      </w:pPr>
      <w:r>
        <w:lastRenderedPageBreak/>
        <w:t>16. Conclusion</w:t>
      </w:r>
    </w:p>
    <w:p w:rsidR="00955FA7" w:rsidRDefault="00B65BD0">
      <w:pPr>
        <w:spacing w:before="80" w:after="80"/>
        <w:jc w:val="both"/>
      </w:pPr>
      <w:r>
        <w:t xml:space="preserve">This project successfully designed and implemented a production-quality ETL pipeline for COVID-19 global data analysis, demonstrating end-to-end data engineering competencies from raw data acquisition through business intelligence delivery. The pipeline processes over 200,000 records from the OWID dataset, applies systematic data quality management including null handling, </w:t>
      </w:r>
      <w:proofErr w:type="spellStart"/>
      <w:r>
        <w:t>deduplication</w:t>
      </w:r>
      <w:proofErr w:type="spellEnd"/>
      <w:r>
        <w:t>, and validation, and engineers six analytical features that power downstream visualization and reporting.</w:t>
      </w:r>
    </w:p>
    <w:p w:rsidR="00955FA7" w:rsidRDefault="00B65BD0">
      <w:pPr>
        <w:spacing w:before="80" w:after="80"/>
        <w:jc w:val="both"/>
      </w:pPr>
      <w:r>
        <w:t>The four-page Power BI dashboard delivers actionable insights across all planned analytical dimensions: global case and death trends, country-wise comparison, vaccination progress, and recovery rate analysis. Key findings highlight significant global disparities in pandemic ou</w:t>
      </w:r>
      <w:r>
        <w:t>t</w:t>
      </w:r>
      <w:r>
        <w:t>comes, strongly correlated with healthcare infrastructure quality, vaccination rollout speed, and population density.</w:t>
      </w:r>
    </w:p>
    <w:p w:rsidR="00955FA7" w:rsidRDefault="00B65BD0">
      <w:pPr>
        <w:spacing w:before="80" w:after="80"/>
        <w:jc w:val="both"/>
      </w:pPr>
      <w:r>
        <w:t>From a technical perspective, the project demonstrates proficiency in Python-based data eng</w:t>
      </w:r>
      <w:r>
        <w:t>i</w:t>
      </w:r>
      <w:r>
        <w:t xml:space="preserve">neering using industry-standard libraries (Pandas, </w:t>
      </w:r>
      <w:proofErr w:type="spellStart"/>
      <w:r>
        <w:t>NumPy</w:t>
      </w:r>
      <w:proofErr w:type="spellEnd"/>
      <w:r>
        <w:t xml:space="preserve">, </w:t>
      </w:r>
      <w:proofErr w:type="spellStart"/>
      <w:r>
        <w:t>SQLAlchemy</w:t>
      </w:r>
      <w:proofErr w:type="spellEnd"/>
      <w:r>
        <w:t>), relational database management (</w:t>
      </w:r>
      <w:proofErr w:type="spellStart"/>
      <w:r>
        <w:t>SQLite</w:t>
      </w:r>
      <w:proofErr w:type="spellEnd"/>
      <w:r>
        <w:t>), structured data export for BI tools, and interactive dashboard develo</w:t>
      </w:r>
      <w:r>
        <w:t>p</w:t>
      </w:r>
      <w:r>
        <w:t>ment in Power BI. The modular notebook architecture ensures reproducibility and extensibility for future enhancements such as real-time API integration, machine learning forecasting, or cloud deployment on platforms such as Azure Data Factory or AWS Glue.</w:t>
      </w:r>
    </w:p>
    <w:p w:rsidR="00955FA7" w:rsidRDefault="00B65BD0">
      <w:r>
        <w:br w:type="page"/>
      </w:r>
    </w:p>
    <w:p w:rsidR="00955FA7" w:rsidRDefault="00B65BD0">
      <w:pPr>
        <w:pStyle w:val="Heading1"/>
        <w:pBdr>
          <w:bottom w:val="single" w:sz="6" w:space="1" w:color="2E75B6"/>
        </w:pBdr>
      </w:pPr>
      <w:r>
        <w:lastRenderedPageBreak/>
        <w:t>17. References</w:t>
      </w:r>
    </w:p>
    <w:p w:rsidR="00955FA7" w:rsidRDefault="00B65BD0">
      <w:pPr>
        <w:spacing w:before="80" w:after="80"/>
        <w:jc w:val="both"/>
      </w:pPr>
      <w:r>
        <w:t xml:space="preserve">[1] Ritchie, H., et al. (2020). </w:t>
      </w:r>
      <w:proofErr w:type="spellStart"/>
      <w:r>
        <w:t>Coronavirus</w:t>
      </w:r>
      <w:proofErr w:type="spellEnd"/>
      <w:r>
        <w:t xml:space="preserve"> Pandemic (COVID-19). </w:t>
      </w:r>
      <w:proofErr w:type="gramStart"/>
      <w:r>
        <w:t>Our World in Data.</w:t>
      </w:r>
      <w:proofErr w:type="gramEnd"/>
      <w:r>
        <w:t xml:space="preserve"> https://ourworldindata.org/coronavirus</w:t>
      </w:r>
    </w:p>
    <w:p w:rsidR="00955FA7" w:rsidRDefault="00B65BD0">
      <w:pPr>
        <w:spacing w:before="80" w:after="80"/>
        <w:jc w:val="both"/>
      </w:pPr>
      <w:r>
        <w:t xml:space="preserve">[2] World Health Organization (2020). </w:t>
      </w:r>
      <w:proofErr w:type="gramStart"/>
      <w:r>
        <w:t>COVID-19 — WHO Situation Reports.</w:t>
      </w:r>
      <w:proofErr w:type="gramEnd"/>
      <w:r>
        <w:t xml:space="preserve"> https://www.who.int/emergencies/diseases/novel-coronavirus-2019/situation-reports</w:t>
      </w:r>
    </w:p>
    <w:p w:rsidR="00955FA7" w:rsidRDefault="00B65BD0">
      <w:pPr>
        <w:spacing w:before="80" w:after="80"/>
        <w:jc w:val="both"/>
      </w:pPr>
      <w:r>
        <w:t xml:space="preserve">[3] McKinney, W. (2017). Python for Data Analysis: Data Wrangling with Pandas, </w:t>
      </w:r>
      <w:proofErr w:type="spellStart"/>
      <w:r>
        <w:t>NumPy</w:t>
      </w:r>
      <w:proofErr w:type="spellEnd"/>
      <w:r>
        <w:t xml:space="preserve">, and </w:t>
      </w:r>
      <w:proofErr w:type="spellStart"/>
      <w:r>
        <w:t>IPython</w:t>
      </w:r>
      <w:proofErr w:type="spellEnd"/>
      <w:r>
        <w:t xml:space="preserve">. </w:t>
      </w:r>
      <w:proofErr w:type="gramStart"/>
      <w:r>
        <w:t>O'Reilly Media.</w:t>
      </w:r>
      <w:proofErr w:type="gramEnd"/>
    </w:p>
    <w:p w:rsidR="00955FA7" w:rsidRDefault="00B65BD0">
      <w:pPr>
        <w:spacing w:before="80" w:after="80"/>
        <w:jc w:val="both"/>
      </w:pPr>
      <w:r>
        <w:t xml:space="preserve">[4] Microsoft Corporation (2023). </w:t>
      </w:r>
      <w:proofErr w:type="gramStart"/>
      <w:r>
        <w:t>Power BI Documentation.</w:t>
      </w:r>
      <w:proofErr w:type="gramEnd"/>
      <w:r>
        <w:t xml:space="preserve"> https://docs.microsoft.com/en-us/power-bi/</w:t>
      </w:r>
    </w:p>
    <w:p w:rsidR="00955FA7" w:rsidRDefault="00B65BD0">
      <w:pPr>
        <w:spacing w:before="80" w:after="80"/>
        <w:jc w:val="both"/>
      </w:pPr>
      <w:r>
        <w:t xml:space="preserve">[5] </w:t>
      </w:r>
      <w:proofErr w:type="spellStart"/>
      <w:r>
        <w:t>SQLAlchemy</w:t>
      </w:r>
      <w:proofErr w:type="spellEnd"/>
      <w:r>
        <w:t xml:space="preserve"> Documentation (2023). </w:t>
      </w:r>
      <w:proofErr w:type="spellStart"/>
      <w:r>
        <w:t>SQLAlchemy</w:t>
      </w:r>
      <w:proofErr w:type="spellEnd"/>
      <w:r>
        <w:t xml:space="preserve"> 2.0 — </w:t>
      </w:r>
      <w:proofErr w:type="gramStart"/>
      <w:r>
        <w:t>The</w:t>
      </w:r>
      <w:proofErr w:type="gramEnd"/>
      <w:r>
        <w:t xml:space="preserve"> Python SQL Toolkit and ORM. https://docs.sqlalchemy.org/</w:t>
      </w:r>
    </w:p>
    <w:p w:rsidR="00955FA7" w:rsidRDefault="00B65BD0">
      <w:pPr>
        <w:spacing w:before="80" w:after="80"/>
        <w:jc w:val="both"/>
      </w:pPr>
      <w:r>
        <w:t xml:space="preserve">[6] Pandas Development Team (2023). </w:t>
      </w:r>
      <w:proofErr w:type="gramStart"/>
      <w:r>
        <w:t>pandas</w:t>
      </w:r>
      <w:proofErr w:type="gramEnd"/>
      <w:r>
        <w:t xml:space="preserve"> 2.0 Documentation. https://pandas.pydata.org/docs/</w:t>
      </w:r>
    </w:p>
    <w:p w:rsidR="00955FA7" w:rsidRDefault="00B65BD0">
      <w:pPr>
        <w:spacing w:before="80" w:after="80"/>
        <w:jc w:val="both"/>
      </w:pPr>
      <w:r>
        <w:t xml:space="preserve">[7] Hunter, J.D. (2007). </w:t>
      </w:r>
      <w:proofErr w:type="spellStart"/>
      <w:r>
        <w:t>Matplotlib</w:t>
      </w:r>
      <w:proofErr w:type="spellEnd"/>
      <w:r>
        <w:t xml:space="preserve">: A 2D Graphics Environment. </w:t>
      </w:r>
      <w:proofErr w:type="gramStart"/>
      <w:r>
        <w:t>Computing in Science &amp; Eng</w:t>
      </w:r>
      <w:r>
        <w:t>i</w:t>
      </w:r>
      <w:r>
        <w:t>neering, 9(3), 90–95.</w:t>
      </w:r>
      <w:proofErr w:type="gramEnd"/>
    </w:p>
    <w:p w:rsidR="00955FA7" w:rsidRDefault="00B65BD0">
      <w:pPr>
        <w:spacing w:before="80" w:after="80"/>
        <w:jc w:val="both"/>
      </w:pPr>
      <w:r>
        <w:t xml:space="preserve">[8] Waskom, M.L. (2021). </w:t>
      </w:r>
      <w:proofErr w:type="spellStart"/>
      <w:proofErr w:type="gramStart"/>
      <w:r>
        <w:t>seaborn</w:t>
      </w:r>
      <w:proofErr w:type="spellEnd"/>
      <w:proofErr w:type="gramEnd"/>
      <w:r>
        <w:t xml:space="preserve">: Statistical Data Visualization. </w:t>
      </w:r>
      <w:proofErr w:type="gramStart"/>
      <w:r>
        <w:t>Journal of Open Source Sof</w:t>
      </w:r>
      <w:r>
        <w:t>t</w:t>
      </w:r>
      <w:r>
        <w:t>ware, 6(60), 3021.</w:t>
      </w:r>
      <w:proofErr w:type="gramEnd"/>
    </w:p>
    <w:p w:rsidR="00955FA7" w:rsidRDefault="00B65BD0">
      <w:pPr>
        <w:spacing w:before="80" w:after="80"/>
        <w:jc w:val="both"/>
      </w:pPr>
      <w:proofErr w:type="gramStart"/>
      <w:r>
        <w:t>[9] Johns Hopkins University (2021).</w:t>
      </w:r>
      <w:proofErr w:type="gramEnd"/>
      <w:r>
        <w:t xml:space="preserve"> </w:t>
      </w:r>
      <w:proofErr w:type="gramStart"/>
      <w:r>
        <w:t>COVID-19 Data Repository.</w:t>
      </w:r>
      <w:proofErr w:type="gramEnd"/>
      <w:r>
        <w:t xml:space="preserve"> https://github.com/CSSEGISandData/COVID-19</w:t>
      </w:r>
    </w:p>
    <w:p w:rsidR="00955FA7" w:rsidRDefault="00B65BD0">
      <w:pPr>
        <w:spacing w:before="80" w:after="80"/>
        <w:jc w:val="both"/>
      </w:pPr>
      <w:r>
        <w:t>[10] Kimball, R., &amp; Ross, M. (2013). The Data Warehouse Toolkit: The Definitive Guide to D</w:t>
      </w:r>
      <w:r>
        <w:t>i</w:t>
      </w:r>
      <w:r>
        <w:t xml:space="preserve">mensional Modeling. </w:t>
      </w:r>
      <w:proofErr w:type="gramStart"/>
      <w:r>
        <w:t>Wiley.</w:t>
      </w:r>
      <w:proofErr w:type="gramEnd"/>
    </w:p>
    <w:sectPr w:rsidR="00955FA7" w:rsidSect="00AF54A8">
      <w:headerReference w:type="default" r:id="rId11"/>
      <w:footerReference w:type="default" r:id="rId12"/>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69FF" w:rsidRDefault="005169FF" w:rsidP="00955FA7">
      <w:r>
        <w:separator/>
      </w:r>
    </w:p>
  </w:endnote>
  <w:endnote w:type="continuationSeparator" w:id="0">
    <w:p w:rsidR="005169FF" w:rsidRDefault="005169FF" w:rsidP="00955FA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BD0" w:rsidRDefault="00B65BD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2395">
      <w:rPr>
        <w:noProof/>
        <w:color w:val="888888"/>
        <w:sz w:val="18"/>
        <w:szCs w:val="18"/>
      </w:rPr>
      <w:t>1</w:t>
    </w:r>
    <w:r>
      <w:rPr>
        <w:color w:val="888888"/>
        <w:sz w:val="18"/>
        <w:szCs w:val="18"/>
      </w:rPr>
      <w:fldChar w:fldCharType="end"/>
    </w:r>
    <w:r>
      <w:rPr>
        <w:color w:val="888888"/>
        <w:sz w:val="18"/>
        <w:szCs w:val="18"/>
      </w:rPr>
      <w:t xml:space="preserve"> | School of Emerging Science and </w:t>
    </w:r>
    <w:proofErr w:type="gramStart"/>
    <w:r>
      <w:rPr>
        <w:color w:val="888888"/>
        <w:sz w:val="18"/>
        <w:szCs w:val="18"/>
      </w:rPr>
      <w:t>Technology  |</w:t>
    </w:r>
    <w:proofErr w:type="gramEnd"/>
    <w:r>
      <w:rPr>
        <w:color w:val="888888"/>
        <w:sz w:val="18"/>
        <w:szCs w:val="18"/>
      </w:rPr>
      <w:t xml:space="preserve">  March 2026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69FF" w:rsidRDefault="005169FF" w:rsidP="00955FA7">
      <w:r>
        <w:separator/>
      </w:r>
    </w:p>
  </w:footnote>
  <w:footnote w:type="continuationSeparator" w:id="0">
    <w:p w:rsidR="005169FF" w:rsidRDefault="005169FF" w:rsidP="00955F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BD0" w:rsidRDefault="00B65BD0">
    <w:pPr>
      <w:pBdr>
        <w:bottom w:val="single" w:sz="4" w:space="1" w:color="2E75B6"/>
      </w:pBdr>
    </w:pPr>
    <w:r>
      <w:rPr>
        <w:color w:val="888888"/>
        <w:sz w:val="18"/>
        <w:szCs w:val="18"/>
      </w:rPr>
      <w:t xml:space="preserve">COVID-19 Global Data Analysis &amp; ETL </w:t>
    </w:r>
    <w:proofErr w:type="gramStart"/>
    <w:r>
      <w:rPr>
        <w:color w:val="888888"/>
        <w:sz w:val="18"/>
        <w:szCs w:val="18"/>
      </w:rPr>
      <w:t>Pipeline  |</w:t>
    </w:r>
    <w:proofErr w:type="gramEnd"/>
    <w:r>
      <w:rPr>
        <w:color w:val="888888"/>
        <w:sz w:val="18"/>
        <w:szCs w:val="18"/>
      </w:rPr>
      <w:t xml:space="preserve">  </w:t>
    </w:r>
    <w:proofErr w:type="spellStart"/>
    <w:r>
      <w:rPr>
        <w:b/>
        <w:bCs/>
        <w:color w:val="888888"/>
        <w:sz w:val="18"/>
        <w:szCs w:val="18"/>
      </w:rPr>
      <w:t>Kaushal</w:t>
    </w:r>
    <w:proofErr w:type="spell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D1916"/>
    <w:multiLevelType w:val="hybridMultilevel"/>
    <w:tmpl w:val="0D3C3C34"/>
    <w:lvl w:ilvl="0" w:tplc="E4BA798A">
      <w:start w:val="1"/>
      <w:numFmt w:val="bullet"/>
      <w:lvlText w:val="•"/>
      <w:lvlJc w:val="left"/>
      <w:pPr>
        <w:ind w:left="720" w:hanging="360"/>
      </w:pPr>
    </w:lvl>
    <w:lvl w:ilvl="1" w:tplc="3D2C0D12">
      <w:numFmt w:val="decimal"/>
      <w:lvlText w:val=""/>
      <w:lvlJc w:val="left"/>
    </w:lvl>
    <w:lvl w:ilvl="2" w:tplc="AFEC70EC">
      <w:numFmt w:val="decimal"/>
      <w:lvlText w:val=""/>
      <w:lvlJc w:val="left"/>
    </w:lvl>
    <w:lvl w:ilvl="3" w:tplc="70144F28">
      <w:numFmt w:val="decimal"/>
      <w:lvlText w:val=""/>
      <w:lvlJc w:val="left"/>
    </w:lvl>
    <w:lvl w:ilvl="4" w:tplc="07FA4F86">
      <w:numFmt w:val="decimal"/>
      <w:lvlText w:val=""/>
      <w:lvlJc w:val="left"/>
    </w:lvl>
    <w:lvl w:ilvl="5" w:tplc="345898F8">
      <w:numFmt w:val="decimal"/>
      <w:lvlText w:val=""/>
      <w:lvlJc w:val="left"/>
    </w:lvl>
    <w:lvl w:ilvl="6" w:tplc="0A3E637E">
      <w:numFmt w:val="decimal"/>
      <w:lvlText w:val=""/>
      <w:lvlJc w:val="left"/>
    </w:lvl>
    <w:lvl w:ilvl="7" w:tplc="4E16082C">
      <w:numFmt w:val="decimal"/>
      <w:lvlText w:val=""/>
      <w:lvlJc w:val="left"/>
    </w:lvl>
    <w:lvl w:ilvl="8" w:tplc="030C2B36">
      <w:numFmt w:val="decimal"/>
      <w:lvlText w:val=""/>
      <w:lvlJc w:val="left"/>
    </w:lvl>
  </w:abstractNum>
  <w:abstractNum w:abstractNumId="1">
    <w:nsid w:val="526D5E69"/>
    <w:multiLevelType w:val="hybridMultilevel"/>
    <w:tmpl w:val="38B26546"/>
    <w:lvl w:ilvl="0" w:tplc="AFDE7958">
      <w:start w:val="1"/>
      <w:numFmt w:val="bullet"/>
      <w:lvlText w:val="●"/>
      <w:lvlJc w:val="left"/>
      <w:pPr>
        <w:ind w:left="720" w:hanging="360"/>
      </w:pPr>
    </w:lvl>
    <w:lvl w:ilvl="1" w:tplc="B4CA5750">
      <w:start w:val="1"/>
      <w:numFmt w:val="bullet"/>
      <w:lvlText w:val="○"/>
      <w:lvlJc w:val="left"/>
      <w:pPr>
        <w:ind w:left="1440" w:hanging="360"/>
      </w:pPr>
    </w:lvl>
    <w:lvl w:ilvl="2" w:tplc="218EA48E">
      <w:start w:val="1"/>
      <w:numFmt w:val="bullet"/>
      <w:lvlText w:val="■"/>
      <w:lvlJc w:val="left"/>
      <w:pPr>
        <w:ind w:left="2160" w:hanging="360"/>
      </w:pPr>
    </w:lvl>
    <w:lvl w:ilvl="3" w:tplc="43521160">
      <w:start w:val="1"/>
      <w:numFmt w:val="bullet"/>
      <w:lvlText w:val="●"/>
      <w:lvlJc w:val="left"/>
      <w:pPr>
        <w:ind w:left="2880" w:hanging="360"/>
      </w:pPr>
    </w:lvl>
    <w:lvl w:ilvl="4" w:tplc="16727998">
      <w:start w:val="1"/>
      <w:numFmt w:val="bullet"/>
      <w:lvlText w:val="○"/>
      <w:lvlJc w:val="left"/>
      <w:pPr>
        <w:ind w:left="3600" w:hanging="360"/>
      </w:pPr>
    </w:lvl>
    <w:lvl w:ilvl="5" w:tplc="1AF202F0">
      <w:start w:val="1"/>
      <w:numFmt w:val="bullet"/>
      <w:lvlText w:val="■"/>
      <w:lvlJc w:val="left"/>
      <w:pPr>
        <w:ind w:left="4320" w:hanging="360"/>
      </w:pPr>
    </w:lvl>
    <w:lvl w:ilvl="6" w:tplc="07A0035A">
      <w:start w:val="1"/>
      <w:numFmt w:val="bullet"/>
      <w:lvlText w:val="●"/>
      <w:lvlJc w:val="left"/>
      <w:pPr>
        <w:ind w:left="5040" w:hanging="360"/>
      </w:pPr>
    </w:lvl>
    <w:lvl w:ilvl="7" w:tplc="E4507DE0">
      <w:start w:val="1"/>
      <w:numFmt w:val="bullet"/>
      <w:lvlText w:val="●"/>
      <w:lvlJc w:val="left"/>
      <w:pPr>
        <w:ind w:left="5760" w:hanging="360"/>
      </w:pPr>
    </w:lvl>
    <w:lvl w:ilvl="8" w:tplc="80CCB19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characterSpacingControl w:val="doNotCompress"/>
  <w:footnotePr>
    <w:footnote w:id="-1"/>
    <w:footnote w:id="0"/>
  </w:footnotePr>
  <w:endnotePr>
    <w:endnote w:id="-1"/>
    <w:endnote w:id="0"/>
  </w:endnotePr>
  <w:compat/>
  <w:rsids>
    <w:rsidRoot w:val="00955FA7"/>
    <w:rsid w:val="00142395"/>
    <w:rsid w:val="005169FF"/>
    <w:rsid w:val="007D0385"/>
    <w:rsid w:val="00955FA7"/>
    <w:rsid w:val="00AF54A8"/>
    <w:rsid w:val="00B65B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955FA7"/>
    <w:pPr>
      <w:spacing w:before="360" w:after="200"/>
      <w:outlineLvl w:val="0"/>
    </w:pPr>
    <w:rPr>
      <w:b/>
      <w:bCs/>
      <w:color w:val="1F4E79"/>
      <w:sz w:val="32"/>
      <w:szCs w:val="32"/>
    </w:rPr>
  </w:style>
  <w:style w:type="paragraph" w:styleId="Heading2">
    <w:name w:val="heading 2"/>
    <w:qFormat/>
    <w:rsid w:val="00955FA7"/>
    <w:pPr>
      <w:spacing w:before="240" w:after="120"/>
      <w:outlineLvl w:val="1"/>
    </w:pPr>
    <w:rPr>
      <w:b/>
      <w:bCs/>
      <w:color w:val="2E75B6"/>
      <w:sz w:val="26"/>
      <w:szCs w:val="26"/>
    </w:rPr>
  </w:style>
  <w:style w:type="paragraph" w:styleId="Heading3">
    <w:name w:val="heading 3"/>
    <w:qFormat/>
    <w:rsid w:val="00955FA7"/>
    <w:pPr>
      <w:outlineLvl w:val="2"/>
    </w:pPr>
    <w:rPr>
      <w:color w:val="1F4D78"/>
      <w:sz w:val="24"/>
      <w:szCs w:val="24"/>
    </w:rPr>
  </w:style>
  <w:style w:type="paragraph" w:styleId="Heading4">
    <w:name w:val="heading 4"/>
    <w:qFormat/>
    <w:rsid w:val="00955FA7"/>
    <w:pPr>
      <w:outlineLvl w:val="3"/>
    </w:pPr>
    <w:rPr>
      <w:i/>
      <w:iCs/>
      <w:color w:val="2E74B5"/>
    </w:rPr>
  </w:style>
  <w:style w:type="paragraph" w:styleId="Heading5">
    <w:name w:val="heading 5"/>
    <w:qFormat/>
    <w:rsid w:val="00955FA7"/>
    <w:pPr>
      <w:outlineLvl w:val="4"/>
    </w:pPr>
    <w:rPr>
      <w:color w:val="2E74B5"/>
    </w:rPr>
  </w:style>
  <w:style w:type="paragraph" w:styleId="Heading6">
    <w:name w:val="heading 6"/>
    <w:qFormat/>
    <w:rsid w:val="00955FA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955FA7"/>
    <w:rPr>
      <w:sz w:val="56"/>
      <w:szCs w:val="56"/>
    </w:rPr>
  </w:style>
  <w:style w:type="paragraph" w:customStyle="1" w:styleId="Strong1">
    <w:name w:val="Strong1"/>
    <w:qFormat/>
    <w:rsid w:val="00955FA7"/>
    <w:rPr>
      <w:b/>
      <w:bCs/>
    </w:rPr>
  </w:style>
  <w:style w:type="paragraph" w:styleId="ListParagraph">
    <w:name w:val="List Paragraph"/>
    <w:qFormat/>
    <w:rsid w:val="00955FA7"/>
  </w:style>
  <w:style w:type="character" w:styleId="Hyperlink">
    <w:name w:val="Hyperlink"/>
    <w:uiPriority w:val="99"/>
    <w:unhideWhenUsed/>
    <w:rsid w:val="00955FA7"/>
    <w:rPr>
      <w:color w:val="0563C1"/>
      <w:u w:val="single"/>
    </w:rPr>
  </w:style>
  <w:style w:type="character" w:styleId="FootnoteReference">
    <w:name w:val="footnote reference"/>
    <w:uiPriority w:val="99"/>
    <w:semiHidden/>
    <w:unhideWhenUsed/>
    <w:rsid w:val="00955FA7"/>
    <w:rPr>
      <w:vertAlign w:val="superscript"/>
    </w:rPr>
  </w:style>
  <w:style w:type="paragraph" w:styleId="FootnoteText">
    <w:name w:val="footnote text"/>
    <w:link w:val="FootnoteTextChar"/>
    <w:uiPriority w:val="99"/>
    <w:semiHidden/>
    <w:unhideWhenUsed/>
    <w:rsid w:val="00955FA7"/>
    <w:rPr>
      <w:sz w:val="20"/>
      <w:szCs w:val="20"/>
    </w:rPr>
  </w:style>
  <w:style w:type="character" w:customStyle="1" w:styleId="FootnoteTextChar">
    <w:name w:val="Footnote Text Char"/>
    <w:link w:val="FootnoteText"/>
    <w:uiPriority w:val="99"/>
    <w:semiHidden/>
    <w:unhideWhenUsed/>
    <w:rsid w:val="00955FA7"/>
    <w:rPr>
      <w:sz w:val="20"/>
      <w:szCs w:val="20"/>
    </w:rPr>
  </w:style>
  <w:style w:type="paragraph" w:styleId="BalloonText">
    <w:name w:val="Balloon Text"/>
    <w:basedOn w:val="Normal"/>
    <w:link w:val="BalloonTextChar"/>
    <w:uiPriority w:val="99"/>
    <w:semiHidden/>
    <w:unhideWhenUsed/>
    <w:rsid w:val="00B65BD0"/>
    <w:rPr>
      <w:rFonts w:ascii="Tahoma" w:hAnsi="Tahoma" w:cs="Tahoma"/>
      <w:sz w:val="16"/>
      <w:szCs w:val="16"/>
    </w:rPr>
  </w:style>
  <w:style w:type="character" w:customStyle="1" w:styleId="BalloonTextChar">
    <w:name w:val="Balloon Text Char"/>
    <w:basedOn w:val="DefaultParagraphFont"/>
    <w:link w:val="BalloonText"/>
    <w:uiPriority w:val="99"/>
    <w:semiHidden/>
    <w:rsid w:val="00B65BD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0778AD-BE63-4241-8C6B-E7B6671A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3503</Words>
  <Characters>19971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KAUSHAL</cp:lastModifiedBy>
  <cp:revision>7</cp:revision>
  <dcterms:created xsi:type="dcterms:W3CDTF">2026-03-25T11:34:00Z</dcterms:created>
  <dcterms:modified xsi:type="dcterms:W3CDTF">2026-03-26T12:12:00Z</dcterms:modified>
</cp:coreProperties>
</file>