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17E" w:rsidRDefault="00D7217E" w:rsidP="00D7217E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D7217E">
        <w:rPr>
          <w:rFonts w:ascii="Times New Roman" w:hAnsi="Times New Roman" w:cs="Times New Roman"/>
          <w:b/>
          <w:sz w:val="56"/>
          <w:szCs w:val="56"/>
        </w:rPr>
        <w:t>VENDOR PERFORMANCE ANALYSIS</w:t>
      </w:r>
    </w:p>
    <w:p w:rsidR="00D7217E" w:rsidRPr="00D7217E" w:rsidRDefault="00D7217E" w:rsidP="00D7217E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D7217E" w:rsidRPr="00D7217E" w:rsidRDefault="00D7217E" w:rsidP="00D7217E">
      <w:pPr>
        <w:jc w:val="center"/>
        <w:rPr>
          <w:rFonts w:ascii="Times New Roman" w:hAnsi="Times New Roman" w:cs="Times New Roman"/>
          <w:sz w:val="56"/>
          <w:szCs w:val="56"/>
        </w:rPr>
      </w:pPr>
    </w:p>
    <w:p w:rsidR="00D7217E" w:rsidRDefault="00D7217E" w:rsidP="00D7217E">
      <w:pPr>
        <w:widowControl w:val="0"/>
        <w:autoSpaceDE w:val="0"/>
        <w:autoSpaceDN w:val="0"/>
        <w:adjustRightInd w:val="0"/>
        <w:ind w:left="2609" w:right="2610"/>
        <w:jc w:val="center"/>
        <w:rPr>
          <w:rFonts w:ascii="Times New Roman" w:hAnsi="Times New Roman" w:cs="Times New Roman"/>
          <w:b/>
          <w:color w:val="000000"/>
          <w:sz w:val="34"/>
          <w:szCs w:val="34"/>
        </w:rPr>
      </w:pPr>
      <w:r>
        <w:rPr>
          <w:rFonts w:ascii="Times New Roman" w:hAnsi="Times New Roman" w:cs="Times New Roman"/>
          <w:b/>
          <w:color w:val="000000"/>
          <w:sz w:val="34"/>
          <w:szCs w:val="34"/>
        </w:rPr>
        <w:t>PROJECT</w:t>
      </w:r>
      <w:r>
        <w:rPr>
          <w:rFonts w:ascii="Times New Roman" w:hAnsi="Times New Roman" w:cs="Times New Roman"/>
          <w:b/>
          <w:color w:val="000000"/>
          <w:spacing w:val="11"/>
          <w:sz w:val="34"/>
          <w:szCs w:val="34"/>
        </w:rPr>
        <w:t xml:space="preserve"> </w:t>
      </w:r>
      <w:r>
        <w:rPr>
          <w:rFonts w:ascii="Times New Roman" w:hAnsi="Times New Roman" w:cs="Times New Roman"/>
          <w:b/>
          <w:color w:val="000000"/>
          <w:sz w:val="34"/>
          <w:szCs w:val="34"/>
        </w:rPr>
        <w:t>FOR</w:t>
      </w:r>
      <w:r>
        <w:rPr>
          <w:rFonts w:ascii="Times New Roman" w:hAnsi="Times New Roman" w:cs="Times New Roman"/>
          <w:b/>
          <w:color w:val="000000"/>
          <w:spacing w:val="-5"/>
          <w:sz w:val="34"/>
          <w:szCs w:val="34"/>
        </w:rPr>
        <w:t xml:space="preserve"> </w:t>
      </w:r>
      <w:r>
        <w:rPr>
          <w:rFonts w:ascii="Times New Roman" w:hAnsi="Times New Roman" w:cs="Times New Roman"/>
          <w:b/>
          <w:color w:val="000000"/>
          <w:sz w:val="34"/>
          <w:szCs w:val="34"/>
        </w:rPr>
        <w:t>THE</w:t>
      </w:r>
      <w:r>
        <w:rPr>
          <w:rFonts w:ascii="Times New Roman" w:hAnsi="Times New Roman" w:cs="Times New Roman"/>
          <w:b/>
          <w:color w:val="000000"/>
          <w:spacing w:val="40"/>
          <w:sz w:val="34"/>
          <w:szCs w:val="34"/>
        </w:rPr>
        <w:t xml:space="preserve"> </w:t>
      </w:r>
      <w:r>
        <w:rPr>
          <w:rFonts w:ascii="Times New Roman" w:hAnsi="Times New Roman" w:cs="Times New Roman"/>
          <w:b/>
          <w:color w:val="000000"/>
          <w:sz w:val="34"/>
          <w:szCs w:val="34"/>
        </w:rPr>
        <w:t>DEG</w:t>
      </w:r>
      <w:r>
        <w:rPr>
          <w:rFonts w:ascii="Times New Roman" w:hAnsi="Times New Roman" w:cs="Times New Roman"/>
          <w:b/>
          <w:color w:val="000000"/>
          <w:spacing w:val="1"/>
          <w:sz w:val="34"/>
          <w:szCs w:val="34"/>
        </w:rPr>
        <w:t>R</w:t>
      </w:r>
      <w:r>
        <w:rPr>
          <w:rFonts w:ascii="Times New Roman" w:hAnsi="Times New Roman" w:cs="Times New Roman"/>
          <w:b/>
          <w:color w:val="000000"/>
          <w:sz w:val="34"/>
          <w:szCs w:val="34"/>
        </w:rPr>
        <w:t>EE</w:t>
      </w:r>
      <w:r>
        <w:rPr>
          <w:rFonts w:ascii="Times New Roman" w:hAnsi="Times New Roman" w:cs="Times New Roman"/>
          <w:b/>
          <w:color w:val="000000"/>
          <w:spacing w:val="-17"/>
          <w:sz w:val="34"/>
          <w:szCs w:val="34"/>
        </w:rPr>
        <w:t xml:space="preserve"> </w:t>
      </w:r>
      <w:r>
        <w:rPr>
          <w:rFonts w:ascii="Times New Roman" w:hAnsi="Times New Roman" w:cs="Times New Roman"/>
          <w:b/>
          <w:color w:val="000000"/>
          <w:w w:val="89"/>
          <w:sz w:val="34"/>
          <w:szCs w:val="34"/>
        </w:rPr>
        <w:t>OF</w:t>
      </w:r>
    </w:p>
    <w:p w:rsidR="00D7217E" w:rsidRDefault="00D7217E" w:rsidP="00D7217E">
      <w:pPr>
        <w:widowControl w:val="0"/>
        <w:autoSpaceDE w:val="0"/>
        <w:autoSpaceDN w:val="0"/>
        <w:adjustRightInd w:val="0"/>
        <w:spacing w:before="10" w:line="260" w:lineRule="exact"/>
        <w:jc w:val="center"/>
        <w:rPr>
          <w:rFonts w:ascii="Times New Roman" w:hAnsi="Times New Roman"/>
          <w:color w:val="000000"/>
          <w:sz w:val="26"/>
          <w:szCs w:val="26"/>
        </w:rPr>
      </w:pPr>
    </w:p>
    <w:p w:rsidR="00D7217E" w:rsidRDefault="00D7217E" w:rsidP="00D7217E">
      <w:pPr>
        <w:widowControl w:val="0"/>
        <w:autoSpaceDE w:val="0"/>
        <w:autoSpaceDN w:val="0"/>
        <w:adjustRightInd w:val="0"/>
        <w:ind w:left="1205" w:right="1206"/>
        <w:jc w:val="center"/>
        <w:rPr>
          <w:rFonts w:ascii="Times New Roman" w:hAnsi="Times New Roman"/>
          <w:b/>
          <w:color w:val="BF003F"/>
          <w:w w:val="122"/>
          <w:sz w:val="36"/>
          <w:szCs w:val="36"/>
        </w:rPr>
      </w:pPr>
      <w:r>
        <w:rPr>
          <w:rFonts w:ascii="Times New Roman" w:hAnsi="Times New Roman"/>
          <w:b/>
          <w:color w:val="BF003F"/>
          <w:w w:val="122"/>
          <w:sz w:val="36"/>
          <w:szCs w:val="36"/>
        </w:rPr>
        <w:t>MSC IN DATA SCIENCE SEM – 4</w:t>
      </w:r>
    </w:p>
    <w:p w:rsidR="00D7217E" w:rsidRDefault="00D7217E" w:rsidP="00D7217E">
      <w:pPr>
        <w:widowControl w:val="0"/>
        <w:autoSpaceDE w:val="0"/>
        <w:autoSpaceDN w:val="0"/>
        <w:adjustRightInd w:val="0"/>
        <w:ind w:left="4060" w:right="4060"/>
        <w:jc w:val="center"/>
        <w:rPr>
          <w:rFonts w:ascii="Times New Roman" w:hAnsi="Times New Roman"/>
          <w:b/>
          <w:color w:val="000000"/>
          <w:sz w:val="34"/>
          <w:szCs w:val="34"/>
        </w:rPr>
      </w:pPr>
      <w:r>
        <w:rPr>
          <w:rFonts w:ascii="Times New Roman" w:hAnsi="Times New Roman"/>
          <w:b/>
          <w:color w:val="000000"/>
          <w:spacing w:val="-9"/>
          <w:w w:val="103"/>
          <w:sz w:val="34"/>
          <w:szCs w:val="34"/>
        </w:rPr>
        <w:t>B</w:t>
      </w:r>
      <w:r>
        <w:rPr>
          <w:rFonts w:ascii="Times New Roman" w:hAnsi="Times New Roman"/>
          <w:b/>
          <w:color w:val="000000"/>
          <w:w w:val="98"/>
          <w:sz w:val="34"/>
          <w:szCs w:val="34"/>
        </w:rPr>
        <w:t>Y</w:t>
      </w:r>
    </w:p>
    <w:p w:rsidR="00D7217E" w:rsidRDefault="00D7217E" w:rsidP="00D7217E">
      <w:pPr>
        <w:widowControl w:val="0"/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D7217E" w:rsidRDefault="00D7217E" w:rsidP="00D7217E">
      <w:pPr>
        <w:widowControl w:val="0"/>
        <w:autoSpaceDE w:val="0"/>
        <w:autoSpaceDN w:val="0"/>
        <w:adjustRightInd w:val="0"/>
        <w:ind w:left="1805" w:right="1806"/>
        <w:jc w:val="center"/>
        <w:rPr>
          <w:rFonts w:ascii="Times New Roman" w:hAnsi="Times New Roman"/>
          <w:b/>
          <w:color w:val="000000"/>
          <w:spacing w:val="-40"/>
          <w:w w:val="124"/>
          <w:sz w:val="34"/>
          <w:szCs w:val="34"/>
        </w:rPr>
      </w:pPr>
      <w:proofErr w:type="gramStart"/>
      <w:r>
        <w:rPr>
          <w:rFonts w:ascii="Times New Roman" w:hAnsi="Times New Roman"/>
          <w:b/>
          <w:color w:val="000000"/>
          <w:spacing w:val="-40"/>
          <w:w w:val="124"/>
          <w:sz w:val="34"/>
          <w:szCs w:val="34"/>
        </w:rPr>
        <w:t>KAUSHALSINH  VAGHELA</w:t>
      </w:r>
      <w:proofErr w:type="gramEnd"/>
    </w:p>
    <w:p w:rsidR="00D7217E" w:rsidRDefault="00D7217E" w:rsidP="00D7217E">
      <w:pPr>
        <w:widowControl w:val="0"/>
        <w:autoSpaceDE w:val="0"/>
        <w:autoSpaceDN w:val="0"/>
        <w:adjustRightInd w:val="0"/>
        <w:ind w:left="1805" w:right="1806"/>
        <w:jc w:val="center"/>
        <w:rPr>
          <w:rFonts w:ascii="Times New Roman" w:hAnsi="Times New Roman"/>
          <w:color w:val="000000"/>
          <w:spacing w:val="-40"/>
          <w:w w:val="124"/>
          <w:sz w:val="34"/>
          <w:szCs w:val="34"/>
        </w:rPr>
      </w:pPr>
    </w:p>
    <w:p w:rsidR="00D7217E" w:rsidRPr="00D7217E" w:rsidRDefault="00D7217E" w:rsidP="00D7217E">
      <w:pPr>
        <w:widowControl w:val="0"/>
        <w:autoSpaceDE w:val="0"/>
        <w:autoSpaceDN w:val="0"/>
        <w:adjustRightInd w:val="0"/>
        <w:spacing w:line="846" w:lineRule="exact"/>
        <w:jc w:val="center"/>
        <w:rPr>
          <w:sz w:val="22"/>
          <w:szCs w:val="22"/>
        </w:rPr>
      </w:pPr>
      <w:r>
        <w:rPr>
          <w:rFonts w:ascii="Times New Roman" w:hAnsi="Times New Roman"/>
          <w:color w:val="000000"/>
          <w:sz w:val="34"/>
          <w:szCs w:val="3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5" o:title="BD10290_"/>
          </v:shape>
        </w:pict>
      </w:r>
      <w:r>
        <w:rPr>
          <w:rFonts w:ascii="Times New Roman" w:hAnsi="Times New Roman"/>
          <w:b/>
          <w:color w:val="000000"/>
          <w:sz w:val="40"/>
          <w:szCs w:val="40"/>
        </w:rPr>
        <w:t>Submitted</w:t>
      </w:r>
      <w:r>
        <w:rPr>
          <w:rFonts w:ascii="Times New Roman" w:hAnsi="Times New Roman"/>
          <w:b/>
          <w:color w:val="000000"/>
          <w:spacing w:val="49"/>
          <w:sz w:val="40"/>
          <w:szCs w:val="40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40"/>
          <w:szCs w:val="40"/>
        </w:rPr>
        <w:t>to</w:t>
      </w:r>
    </w:p>
    <w:p w:rsidR="00D7217E" w:rsidRDefault="00D7217E" w:rsidP="00D7217E">
      <w:pPr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 xml:space="preserve">        </w:t>
      </w:r>
      <w:r>
        <w:rPr>
          <w:rFonts w:ascii="Times New Roman" w:hAnsi="Times New Roman"/>
          <w:noProof/>
          <w:color w:val="000000"/>
          <w:sz w:val="20"/>
          <w:szCs w:val="20"/>
        </w:rPr>
        <w:drawing>
          <wp:inline distT="0" distB="0" distL="0" distR="0">
            <wp:extent cx="1136650" cy="1136650"/>
            <wp:effectExtent l="19050" t="0" r="635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52"/>
          <w:szCs w:val="52"/>
        </w:rPr>
        <w:t xml:space="preserve">                          </w:t>
      </w:r>
      <w:r>
        <w:rPr>
          <w:rFonts w:ascii="Times New Roman" w:hAnsi="Times New Roman"/>
          <w:noProof/>
          <w:color w:val="000000"/>
          <w:sz w:val="20"/>
          <w:szCs w:val="20"/>
        </w:rPr>
        <w:drawing>
          <wp:inline distT="0" distB="0" distL="0" distR="0">
            <wp:extent cx="1187450" cy="118745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17E" w:rsidRDefault="00D7217E" w:rsidP="00D7217E">
      <w:pPr>
        <w:widowControl w:val="0"/>
        <w:autoSpaceDE w:val="0"/>
        <w:autoSpaceDN w:val="0"/>
        <w:adjustRightInd w:val="0"/>
        <w:spacing w:line="386" w:lineRule="auto"/>
        <w:ind w:right="-512"/>
        <w:jc w:val="center"/>
        <w:rPr>
          <w:rFonts w:ascii="Times New Roman" w:hAnsi="Times New Roman"/>
          <w:b/>
          <w:color w:val="000000"/>
          <w:w w:val="124"/>
          <w:sz w:val="34"/>
          <w:szCs w:val="34"/>
        </w:rPr>
      </w:pPr>
      <w:r>
        <w:rPr>
          <w:rFonts w:ascii="Times New Roman" w:hAnsi="Times New Roman"/>
          <w:b/>
          <w:color w:val="000000"/>
          <w:w w:val="125"/>
          <w:sz w:val="34"/>
          <w:szCs w:val="34"/>
        </w:rPr>
        <w:t>Departme</w:t>
      </w:r>
      <w:r>
        <w:rPr>
          <w:rFonts w:ascii="Times New Roman" w:hAnsi="Times New Roman"/>
          <w:b/>
          <w:color w:val="000000"/>
          <w:spacing w:val="-10"/>
          <w:w w:val="125"/>
          <w:sz w:val="34"/>
          <w:szCs w:val="34"/>
        </w:rPr>
        <w:t>n</w:t>
      </w:r>
      <w:r>
        <w:rPr>
          <w:rFonts w:ascii="Times New Roman" w:hAnsi="Times New Roman"/>
          <w:b/>
          <w:color w:val="000000"/>
          <w:w w:val="159"/>
          <w:sz w:val="34"/>
          <w:szCs w:val="34"/>
        </w:rPr>
        <w:t>t</w:t>
      </w:r>
      <w:r>
        <w:rPr>
          <w:rFonts w:ascii="Times New Roman" w:hAnsi="Times New Roman"/>
          <w:b/>
          <w:color w:val="000000"/>
          <w:sz w:val="34"/>
          <w:szCs w:val="34"/>
        </w:rPr>
        <w:t xml:space="preserve"> </w:t>
      </w:r>
      <w:r>
        <w:rPr>
          <w:rFonts w:ascii="Times New Roman" w:hAnsi="Times New Roman"/>
          <w:b/>
          <w:color w:val="000000"/>
          <w:spacing w:val="-41"/>
          <w:sz w:val="34"/>
          <w:szCs w:val="34"/>
        </w:rPr>
        <w:t>of</w:t>
      </w:r>
      <w:r>
        <w:rPr>
          <w:rFonts w:ascii="Times New Roman" w:hAnsi="Times New Roman"/>
          <w:b/>
          <w:color w:val="000000"/>
          <w:spacing w:val="73"/>
          <w:sz w:val="34"/>
          <w:szCs w:val="34"/>
        </w:rPr>
        <w:t xml:space="preserve"> </w:t>
      </w:r>
      <w:r>
        <w:rPr>
          <w:rFonts w:ascii="Times New Roman" w:hAnsi="Times New Roman"/>
          <w:b/>
          <w:color w:val="000000"/>
          <w:w w:val="124"/>
          <w:sz w:val="34"/>
          <w:szCs w:val="34"/>
        </w:rPr>
        <w:t>AIML/DS</w:t>
      </w:r>
    </w:p>
    <w:p w:rsidR="00D7217E" w:rsidRDefault="00D7217E" w:rsidP="00D7217E">
      <w:pPr>
        <w:widowControl w:val="0"/>
        <w:autoSpaceDE w:val="0"/>
        <w:autoSpaceDN w:val="0"/>
        <w:adjustRightInd w:val="0"/>
        <w:spacing w:line="386" w:lineRule="auto"/>
        <w:ind w:right="-229"/>
        <w:jc w:val="center"/>
        <w:rPr>
          <w:rFonts w:ascii="Times New Roman" w:hAnsi="Times New Roman"/>
          <w:b/>
          <w:color w:val="0000FF"/>
          <w:w w:val="119"/>
          <w:sz w:val="41"/>
          <w:szCs w:val="41"/>
        </w:rPr>
      </w:pPr>
      <w:r>
        <w:rPr>
          <w:rFonts w:ascii="Times New Roman" w:hAnsi="Times New Roman"/>
          <w:b/>
          <w:color w:val="000000"/>
          <w:w w:val="124"/>
          <w:sz w:val="34"/>
          <w:szCs w:val="34"/>
        </w:rPr>
        <w:t>School of Emerging Science &amp; Technology</w:t>
      </w:r>
      <w:r>
        <w:rPr>
          <w:rFonts w:ascii="Times New Roman" w:hAnsi="Times New Roman"/>
          <w:b/>
          <w:color w:val="0000FF"/>
          <w:w w:val="129"/>
          <w:sz w:val="41"/>
          <w:szCs w:val="41"/>
        </w:rPr>
        <w:t xml:space="preserve">                     Gujarat</w:t>
      </w:r>
      <w:r>
        <w:rPr>
          <w:rFonts w:ascii="Times New Roman" w:hAnsi="Times New Roman"/>
          <w:b/>
          <w:color w:val="0000FF"/>
          <w:spacing w:val="25"/>
          <w:w w:val="129"/>
          <w:sz w:val="41"/>
          <w:szCs w:val="41"/>
        </w:rPr>
        <w:t xml:space="preserve"> </w:t>
      </w:r>
      <w:r>
        <w:rPr>
          <w:rFonts w:ascii="Times New Roman" w:hAnsi="Times New Roman"/>
          <w:b/>
          <w:color w:val="0000FF"/>
          <w:w w:val="120"/>
          <w:sz w:val="41"/>
          <w:szCs w:val="41"/>
        </w:rPr>
        <w:t>Uni</w:t>
      </w:r>
      <w:r>
        <w:rPr>
          <w:rFonts w:ascii="Times New Roman" w:hAnsi="Times New Roman"/>
          <w:b/>
          <w:color w:val="0000FF"/>
          <w:spacing w:val="-12"/>
          <w:w w:val="120"/>
          <w:sz w:val="41"/>
          <w:szCs w:val="41"/>
        </w:rPr>
        <w:t>v</w:t>
      </w:r>
      <w:r>
        <w:rPr>
          <w:rFonts w:ascii="Times New Roman" w:hAnsi="Times New Roman"/>
          <w:b/>
          <w:color w:val="0000FF"/>
          <w:w w:val="126"/>
          <w:sz w:val="41"/>
          <w:szCs w:val="41"/>
        </w:rPr>
        <w:t>ersi</w:t>
      </w:r>
      <w:r>
        <w:rPr>
          <w:rFonts w:ascii="Times New Roman" w:hAnsi="Times New Roman"/>
          <w:b/>
          <w:color w:val="0000FF"/>
          <w:spacing w:val="-12"/>
          <w:w w:val="126"/>
          <w:sz w:val="41"/>
          <w:szCs w:val="41"/>
        </w:rPr>
        <w:t>t</w:t>
      </w:r>
      <w:r>
        <w:rPr>
          <w:rFonts w:ascii="Times New Roman" w:hAnsi="Times New Roman"/>
          <w:b/>
          <w:color w:val="0000FF"/>
          <w:w w:val="119"/>
          <w:sz w:val="41"/>
          <w:szCs w:val="41"/>
        </w:rPr>
        <w:t>y</w:t>
      </w:r>
    </w:p>
    <w:p w:rsidR="00D7217E" w:rsidRDefault="00D7217E" w:rsidP="00D7217E">
      <w:pPr>
        <w:widowControl w:val="0"/>
        <w:autoSpaceDE w:val="0"/>
        <w:autoSpaceDN w:val="0"/>
        <w:adjustRightInd w:val="0"/>
        <w:spacing w:line="386" w:lineRule="auto"/>
        <w:ind w:right="-229"/>
        <w:jc w:val="center"/>
        <w:rPr>
          <w:rFonts w:ascii="Times New Roman" w:hAnsi="Times New Roman"/>
          <w:b/>
          <w:color w:val="0000FF"/>
          <w:w w:val="119"/>
          <w:sz w:val="41"/>
          <w:szCs w:val="41"/>
        </w:rPr>
      </w:pPr>
      <w:r>
        <w:rPr>
          <w:rFonts w:ascii="Times New Roman" w:hAnsi="Times New Roman"/>
          <w:b/>
          <w:color w:val="0000FF"/>
          <w:w w:val="119"/>
          <w:sz w:val="41"/>
          <w:szCs w:val="41"/>
        </w:rPr>
        <w:t>Year: 2026</w:t>
      </w:r>
    </w:p>
    <w:p w:rsidR="00D7217E" w:rsidRPr="00D7217E" w:rsidRDefault="00D7217E" w:rsidP="00D7217E">
      <w:pPr>
        <w:widowControl w:val="0"/>
        <w:autoSpaceDE w:val="0"/>
        <w:autoSpaceDN w:val="0"/>
        <w:adjustRightInd w:val="0"/>
        <w:spacing w:line="386" w:lineRule="auto"/>
        <w:ind w:right="-229"/>
        <w:jc w:val="center"/>
        <w:rPr>
          <w:rFonts w:ascii="Times New Roman" w:hAnsi="Times New Roman"/>
          <w:b/>
          <w:color w:val="000000"/>
          <w:w w:val="124"/>
          <w:sz w:val="34"/>
          <w:szCs w:val="34"/>
        </w:rPr>
      </w:pPr>
    </w:p>
    <w:p w:rsidR="00D7217E" w:rsidRDefault="00D7217E">
      <w:pPr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br w:type="page"/>
      </w:r>
    </w:p>
    <w:p w:rsidR="00BB7D87" w:rsidRDefault="00D7217E">
      <w:pPr>
        <w:jc w:val="center"/>
      </w:pPr>
      <w:r>
        <w:rPr>
          <w:b/>
          <w:bCs/>
          <w:color w:val="1F4E79"/>
          <w:sz w:val="48"/>
          <w:szCs w:val="48"/>
        </w:rPr>
        <w:lastRenderedPageBreak/>
        <w:t>VENDOR PERFORMANCE ANALYSIS</w:t>
      </w:r>
    </w:p>
    <w:p w:rsidR="00BB7D87" w:rsidRDefault="00D7217E">
      <w:pPr>
        <w:spacing w:before="200"/>
        <w:jc w:val="center"/>
      </w:pPr>
      <w:r>
        <w:rPr>
          <w:i/>
          <w:iCs/>
          <w:color w:val="2E75B6"/>
          <w:sz w:val="30"/>
          <w:szCs w:val="30"/>
        </w:rPr>
        <w:t>Using SQL, Python &amp; Power BI</w:t>
      </w:r>
    </w:p>
    <w:p w:rsidR="00BB7D87" w:rsidRDefault="00D7217E">
      <w:pPr>
        <w:spacing w:before="200"/>
        <w:jc w:val="center"/>
      </w:pPr>
      <w:r>
        <w:rPr>
          <w:color w:val="666666"/>
        </w:rPr>
        <w:t>US Beverage Distribution Industry — FY 2024</w:t>
      </w:r>
    </w:p>
    <w:p w:rsidR="00BB7D87" w:rsidRDefault="00D7217E">
      <w:pPr>
        <w:spacing w:before="600"/>
        <w:jc w:val="center"/>
      </w:pPr>
      <w:r>
        <w:rPr>
          <w:b/>
          <w:bCs/>
          <w:sz w:val="26"/>
          <w:szCs w:val="26"/>
        </w:rPr>
        <w:t>Submitted By:</w:t>
      </w:r>
    </w:p>
    <w:p w:rsidR="00BB7D87" w:rsidRDefault="00D7217E">
      <w:pPr>
        <w:spacing w:before="100"/>
        <w:jc w:val="center"/>
      </w:pPr>
      <w:r>
        <w:rPr>
          <w:b/>
          <w:bCs/>
          <w:color w:val="1F4E79"/>
          <w:sz w:val="28"/>
          <w:szCs w:val="28"/>
        </w:rPr>
        <w:t>VAGHELA KAUSHALSINH JAWAHARSINH</w:t>
      </w:r>
    </w:p>
    <w:p w:rsidR="00BB7D87" w:rsidRDefault="00D7217E">
      <w:pPr>
        <w:spacing w:before="100"/>
        <w:jc w:val="center"/>
      </w:pPr>
      <w:r>
        <w:t>School of Emerging Science and Technology</w:t>
      </w:r>
    </w:p>
    <w:p w:rsidR="00BB7D87" w:rsidRDefault="00D7217E">
      <w:pPr>
        <w:spacing w:before="100"/>
        <w:jc w:val="center"/>
      </w:pPr>
      <w:r>
        <w:t>Academic Year: 2025-2026</w:t>
      </w:r>
    </w:p>
    <w:p w:rsidR="00BB7D87" w:rsidRDefault="00D7217E">
      <w:r>
        <w:br w:type="page"/>
      </w:r>
    </w:p>
    <w:p w:rsidR="00BB7D87" w:rsidRDefault="00D7217E">
      <w:pPr>
        <w:pStyle w:val="Heading1"/>
      </w:pPr>
      <w:r>
        <w:lastRenderedPageBreak/>
        <w:t>1. Abstract</w:t>
      </w:r>
    </w:p>
    <w:p w:rsidR="00BB7D87" w:rsidRDefault="00D7217E">
      <w:pPr>
        <w:spacing w:before="80" w:after="80"/>
        <w:jc w:val="both"/>
      </w:pPr>
      <w:r>
        <w:t>This project presents a comprehensive Vendor Performance Analysis for a US-based beverage distribution business using SQL, Python, and Power BI. The analysis integrates six large datasets totaling over 2GB of data including purchase records, sales transact</w:t>
      </w:r>
      <w:r>
        <w:t>ions, vendor invoices, and inventory snapshots. Key business KPIs were computed from real transactional data: Total Sales of $452.06M, Total Purchase of $321.90M, Gross Profit of $130.16M, Profit Margin of 28.79%, and Unsold Capital of $49M. The project id</w:t>
      </w:r>
      <w:r>
        <w:t xml:space="preserve">entifies top-performing vendors led by DIAGEO NORTH AMERICA INC with $50.96M in purchases, and low-performing vendors including FLAVOR ESSENCE INC ($17 </w:t>
      </w:r>
      <w:proofErr w:type="spellStart"/>
      <w:r>
        <w:t>avg</w:t>
      </w:r>
      <w:proofErr w:type="spellEnd"/>
      <w:r>
        <w:t xml:space="preserve">) and SILVER MOUNTAIN CIDERS ($39 </w:t>
      </w:r>
      <w:proofErr w:type="spellStart"/>
      <w:r>
        <w:t>avg</w:t>
      </w:r>
      <w:proofErr w:type="spellEnd"/>
      <w:r>
        <w:t>). An interactive Power BI dashboard was built for real-time pro</w:t>
      </w:r>
      <w:r>
        <w:t>curement decision making. The findings provide actionable strategies for vendor optimization and inventory management.</w:t>
      </w:r>
    </w:p>
    <w:p w:rsidR="00BB7D87" w:rsidRDefault="00D7217E">
      <w:pPr>
        <w:pStyle w:val="Heading1"/>
      </w:pPr>
      <w:r>
        <w:t>2. Introduction</w:t>
      </w:r>
    </w:p>
    <w:p w:rsidR="00BB7D87" w:rsidRDefault="00D7217E">
      <w:pPr>
        <w:spacing w:before="80" w:after="80"/>
        <w:jc w:val="both"/>
      </w:pPr>
      <w:r>
        <w:t>Vendor performance management is a critical function in supply chain operations, particularly in the beverage distributio</w:t>
      </w:r>
      <w:r>
        <w:t xml:space="preserve">n industry where margins are tight and procurement decisions directly impact profitability. Organizations dealing with multiple vendors need systematic data-driven approaches to evaluate supplier efficiency, cost-effectiveness, and contribution to overall </w:t>
      </w:r>
      <w:r>
        <w:t>business performance.</w:t>
      </w:r>
    </w:p>
    <w:p w:rsidR="00BB7D87" w:rsidRDefault="00D7217E">
      <w:pPr>
        <w:spacing w:before="80" w:after="80"/>
        <w:jc w:val="both"/>
      </w:pPr>
      <w:r>
        <w:t>This project simulates a real-world data analyst workflow — analyzing vendor performance for a beverage distribution company. By integrating six datasets using SQL and Python, and visualizing insights through Power BI, the project del</w:t>
      </w:r>
      <w:r>
        <w:t>ivers a complete end-to-end analytics solution that procurement teams can use for ongoing vendor management.</w:t>
      </w:r>
    </w:p>
    <w:p w:rsidR="00BB7D87" w:rsidRDefault="00D7217E">
      <w:pPr>
        <w:pStyle w:val="Heading2"/>
      </w:pPr>
      <w:r>
        <w:t>2.1 Objectives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Perform SQL-based data extraction and KPI computation across 6 datasets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Identify top-performing vendors by purchase volume and sales</w:t>
      </w:r>
      <w:r>
        <w:t xml:space="preserve"> contribution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Identify low-performing vendors with poor average purchase values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Calculate key business KPIs: Total Sales, Total Purchase, Gross Profit, Profit Margin, Unsold Capital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Perform hypothesis testing to validate vendor performance segmentation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Bui</w:t>
      </w:r>
      <w:r>
        <w:t>ld an interactive Power BI dashboard for real-time vendor monitoring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Generate actionable procurement recommendations for management</w:t>
      </w:r>
    </w:p>
    <w:p w:rsidR="00BB7D87" w:rsidRDefault="00D7217E">
      <w:pPr>
        <w:pStyle w:val="Heading2"/>
      </w:pPr>
      <w:r>
        <w:t>2.2 Dataset Overview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1500"/>
        <w:gridCol w:w="5060"/>
      </w:tblGrid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begin_inventory.csv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16.6 MB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Beginning stock levels per vendor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end_inventory.csv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18.1 MB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Ending stock levels per vendor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purchase_prices.csv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 MB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Vendor-wise purchase pricing data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lastRenderedPageBreak/>
              <w:t>purchases.csv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344 MB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All purchase transactions (500K rows sampled)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sales.csv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1.5 GB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Complete sales transaction records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vendor_invoice.csv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498 KB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Vendor invoice and billing records</w:t>
            </w:r>
          </w:p>
        </w:tc>
      </w:tr>
    </w:tbl>
    <w:p w:rsidR="00BB7D87" w:rsidRDefault="00BB7D87">
      <w:pPr>
        <w:spacing w:before="200"/>
      </w:pPr>
    </w:p>
    <w:p w:rsidR="00BB7D87" w:rsidRDefault="00D7217E">
      <w:pPr>
        <w:pStyle w:val="Heading1"/>
      </w:pPr>
      <w:r>
        <w:t>3. Methodology</w:t>
      </w:r>
    </w:p>
    <w:p w:rsidR="00BB7D87" w:rsidRDefault="00D7217E">
      <w:pPr>
        <w:pStyle w:val="Heading2"/>
      </w:pPr>
      <w:r>
        <w:t>3.1 Data Collection &amp; Loading</w:t>
      </w:r>
    </w:p>
    <w:p w:rsidR="00BB7D87" w:rsidRDefault="00D7217E">
      <w:pPr>
        <w:spacing w:before="80" w:after="80"/>
        <w:jc w:val="both"/>
      </w:pPr>
      <w:r>
        <w:t xml:space="preserve">Six CSV files were loaded into Python using Pandas. Due to the large size of purchases.csv (344 MB) and sales.csv (1.5 GB), optimized loading with </w:t>
      </w:r>
      <w:proofErr w:type="spellStart"/>
      <w:r>
        <w:t>nrows</w:t>
      </w:r>
      <w:proofErr w:type="spellEnd"/>
      <w:r>
        <w:t xml:space="preserve">=500000 was applied for purchases. All datasets were loaded into </w:t>
      </w:r>
      <w:proofErr w:type="spellStart"/>
      <w:r>
        <w:t>SQLite</w:t>
      </w:r>
      <w:proofErr w:type="spellEnd"/>
      <w:r>
        <w:t xml:space="preserve"> database using Python's sqlite3 </w:t>
      </w:r>
      <w:r>
        <w:t>library for structured querying.</w:t>
      </w:r>
    </w:p>
    <w:p w:rsidR="00BB7D87" w:rsidRDefault="00D7217E">
      <w:pPr>
        <w:pStyle w:val="Heading2"/>
      </w:pPr>
      <w:r>
        <w:t>3.2 SQL Data Cleaning &amp; Analysis</w:t>
      </w:r>
    </w:p>
    <w:p w:rsidR="00BB7D87" w:rsidRDefault="00D7217E">
      <w:pPr>
        <w:spacing w:before="80" w:after="80"/>
        <w:jc w:val="both"/>
      </w:pPr>
      <w:r>
        <w:t>Six advanced SQL queries were executed to compute KPIs and analyze vendor performance: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Query 1: Vendor summary — total orders, purchase quantity, total dollars, freight per vendor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Query 2: P</w:t>
      </w:r>
      <w:r>
        <w:t>rice analysis — average purchase price, total spend by vendor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Query 3: Brand performance — gross profit and profit margin per brand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Query 4: Unsold capital — inventory value tied in unsold stock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Query 5: Low performers — vendors with below-threshold margins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Query 6: Purchase contribution % — each vendor's share of total purchases</w:t>
      </w:r>
    </w:p>
    <w:p w:rsidR="00BB7D87" w:rsidRDefault="00D7217E">
      <w:pPr>
        <w:pStyle w:val="Heading2"/>
      </w:pPr>
      <w:r>
        <w:t>3.3 Python EDA</w:t>
      </w:r>
    </w:p>
    <w:p w:rsidR="00BB7D87" w:rsidRDefault="00D7217E">
      <w:pPr>
        <w:spacing w:before="80" w:after="80"/>
        <w:jc w:val="both"/>
      </w:pPr>
      <w:r>
        <w:t xml:space="preserve">Exploratory Data Analysis was performed using Pandas,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Seaborn</w:t>
      </w:r>
      <w:proofErr w:type="spellEnd"/>
      <w:r>
        <w:t>. Analysis included vendor-wise purchase trends, price distribution analysis, inventory movement patterns, and statistical summaries of all key metrics.</w:t>
      </w:r>
    </w:p>
    <w:p w:rsidR="00BB7D87" w:rsidRDefault="00D7217E">
      <w:pPr>
        <w:pStyle w:val="Heading2"/>
      </w:pPr>
      <w:r>
        <w:t>3.4 Hypothesis Testing</w:t>
      </w:r>
    </w:p>
    <w:p w:rsidR="00BB7D87" w:rsidRDefault="00D7217E">
      <w:pPr>
        <w:spacing w:before="80" w:after="80"/>
        <w:jc w:val="both"/>
      </w:pPr>
      <w:r>
        <w:t>An i</w:t>
      </w:r>
      <w:r>
        <w:t xml:space="preserve">ndependent samples t-test was conducted using </w:t>
      </w:r>
      <w:proofErr w:type="spellStart"/>
      <w:r>
        <w:t>scipy.stats</w:t>
      </w:r>
      <w:proofErr w:type="spellEnd"/>
      <w:r>
        <w:t xml:space="preserve"> to validate whether top-performing vendors have statistically significantly higher performance metrics than low-performing vendors. The null hypothesis was rejected at alpha = 0.05, confirming the v</w:t>
      </w:r>
      <w:r>
        <w:t>alidity of vendor segmentation.</w:t>
      </w:r>
    </w:p>
    <w:p w:rsidR="00BB7D87" w:rsidRDefault="00D7217E">
      <w:pPr>
        <w:pStyle w:val="Heading2"/>
      </w:pPr>
      <w:r>
        <w:t>3.5 Power BI Dashboard</w:t>
      </w:r>
    </w:p>
    <w:p w:rsidR="00BB7D87" w:rsidRDefault="00D7217E">
      <w:pPr>
        <w:spacing w:before="80" w:after="80"/>
        <w:jc w:val="both"/>
      </w:pPr>
      <w:r>
        <w:t>An interactive Power BI dashboard was built by loading all 6 original CSV files directly into Power BI Desktop. Five DAX measures were created for KPI computation. The dashboard contains 5 KPI cards, a</w:t>
      </w:r>
      <w:r>
        <w:t xml:space="preserve"> Purchase Contribution donut chart, Top Vendors </w:t>
      </w:r>
      <w:proofErr w:type="spellStart"/>
      <w:r>
        <w:t>treemap</w:t>
      </w:r>
      <w:proofErr w:type="spellEnd"/>
      <w:r>
        <w:t>, and Low Performing Vendors bar chart.</w:t>
      </w:r>
    </w:p>
    <w:p w:rsidR="00BB7D87" w:rsidRDefault="00D7217E">
      <w:pPr>
        <w:pStyle w:val="Heading1"/>
      </w:pPr>
      <w:r>
        <w:lastRenderedPageBreak/>
        <w:t>4. Results &amp; Key Findings</w:t>
      </w:r>
    </w:p>
    <w:p w:rsidR="00BB7D87" w:rsidRDefault="00D7217E">
      <w:pPr>
        <w:pStyle w:val="Heading2"/>
      </w:pPr>
      <w:r>
        <w:t>4.1 Business KPI Summary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2500"/>
        <w:gridCol w:w="3860"/>
      </w:tblGrid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KPI 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Insight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Total Sales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$452.06 Million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Total revenue from all sales transactions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Total Purchase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$321.90 Million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Total procurement cost from all vendors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Gross Profit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$130.16 Million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Revenue minus total procurement cost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Profit Margin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28.79%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Gross profit as % of total sales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Unsold Capital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$49 Million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Capital tied in unsold inventory</w:t>
            </w:r>
          </w:p>
        </w:tc>
      </w:tr>
    </w:tbl>
    <w:p w:rsidR="00BB7D87" w:rsidRDefault="00BB7D87">
      <w:pPr>
        <w:spacing w:before="150"/>
      </w:pPr>
    </w:p>
    <w:p w:rsidR="00BB7D87" w:rsidRDefault="00D7217E">
      <w:pPr>
        <w:pStyle w:val="Heading2"/>
      </w:pPr>
      <w:r>
        <w:t>4.2 Top Vendors by Purchase Volume</w:t>
      </w:r>
    </w:p>
    <w:p w:rsidR="00BB7D87" w:rsidRDefault="00D7217E">
      <w:pPr>
        <w:spacing w:before="80" w:after="80"/>
        <w:jc w:val="both"/>
      </w:pPr>
      <w:r>
        <w:t>Analysis of vendor invoice data revealed the following top performing vendors by purchase contribution: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3500"/>
        <w:gridCol w:w="2500"/>
        <w:gridCol w:w="1860"/>
      </w:tblGrid>
      <w:tr w:rsidR="00BB7D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Vendor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Purchase Amount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Contribution %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DIAGEO NORTH AMERICA INC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$50.96M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24%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MARTIGNETTI COMPANIES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$27.86M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13%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JIM BEAM BRANDS COMPANY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$24.20M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12%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PERNOD RICARD USA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$24.12M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11%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BACARDI USA INC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$17.62M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8%</w:t>
            </w:r>
          </w:p>
        </w:tc>
      </w:tr>
    </w:tbl>
    <w:p w:rsidR="00BB7D87" w:rsidRDefault="00BB7D87">
      <w:pPr>
        <w:spacing w:before="150"/>
      </w:pPr>
    </w:p>
    <w:p w:rsidR="00BB7D87" w:rsidRDefault="00D7217E">
      <w:pPr>
        <w:pStyle w:val="Heading2"/>
      </w:pPr>
      <w:r>
        <w:t>4.3 Purchase Contribution Analysis</w:t>
      </w:r>
    </w:p>
    <w:p w:rsidR="00BB7D87" w:rsidRDefault="00D7217E">
      <w:pPr>
        <w:spacing w:before="80" w:after="80"/>
        <w:jc w:val="both"/>
      </w:pPr>
      <w:r>
        <w:t xml:space="preserve">The top 10 vendors account for approximately 65.7% of total purchase contribution, indicating significant vendor concentration. DIAGEO NORTH AMERICA INC alone contributes 24% of total purchases, followed by MARTIGNETTI COMPANIES at 13% and JIM BEAM BRANDS </w:t>
      </w:r>
      <w:r>
        <w:t>at 12%. This concentration pattern highlights supply chain dependency risk that needs to be addressed through vendor diversification.</w:t>
      </w:r>
    </w:p>
    <w:p w:rsidR="00BB7D87" w:rsidRDefault="00D7217E">
      <w:pPr>
        <w:pStyle w:val="Heading2"/>
      </w:pPr>
      <w:r>
        <w:t>4.4 Low Performing Vendors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2500"/>
        <w:gridCol w:w="3360"/>
      </w:tblGrid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Vendor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Avg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Purchase ($)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lastRenderedPageBreak/>
              <w:t>FLAVOR ESSENCE INC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$17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Critical — lowest value vendor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SILVER MOUNTAIN CIDERS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$39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Critical — very low purchase value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DELICATO VINEYARDS INC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$53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Warning — below threshold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CAPSTONE INTERNATIONAL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$55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Warning — low performance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FANTASY FINE WINES CORP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$64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Monitor — marginal performer</w:t>
            </w:r>
          </w:p>
        </w:tc>
      </w:tr>
    </w:tbl>
    <w:p w:rsidR="00BB7D87" w:rsidRDefault="00BB7D87">
      <w:pPr>
        <w:spacing w:before="150"/>
      </w:pPr>
    </w:p>
    <w:p w:rsidR="00BB7D87" w:rsidRDefault="00D7217E">
      <w:pPr>
        <w:pStyle w:val="Heading2"/>
      </w:pPr>
      <w:r>
        <w:t>4.5 Unsold Capital Analysis</w:t>
      </w:r>
    </w:p>
    <w:p w:rsidR="00BB7D87" w:rsidRDefault="00D7217E">
      <w:pPr>
        <w:spacing w:before="80" w:after="80"/>
        <w:jc w:val="both"/>
      </w:pPr>
      <w:r>
        <w:t>The $49M in unsold capital represents approximately 10.8% of total purchase value tied up in unsold inventory. This is a significant financial risk as it represents cash that is not generating returns. Immediate clearance strate</w:t>
      </w:r>
      <w:r>
        <w:t>gies and improved demand forecasting are required to reduce this exposure.</w:t>
      </w:r>
    </w:p>
    <w:p w:rsidR="00BB7D87" w:rsidRDefault="00D7217E">
      <w:pPr>
        <w:pStyle w:val="Heading1"/>
      </w:pPr>
      <w:r>
        <w:t>5. Power BI Dashboard</w:t>
      </w:r>
    </w:p>
    <w:p w:rsidR="00BB7D87" w:rsidRDefault="00D7217E">
      <w:pPr>
        <w:spacing w:before="80" w:after="80"/>
        <w:jc w:val="both"/>
      </w:pPr>
      <w:r>
        <w:t>An interactive Power BI dashboard was developed connecting directly to the original 6 CSV datasets. The dashboard provides real-time procurement insights throu</w:t>
      </w:r>
      <w:r>
        <w:t>gh the following components: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5 Color-coded KPI Cards: Each card uses a unique color theme (Blue=Sales, Green=Purchase, Teal=Profit, Amber=Margin, Red=Unsold Capital)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Purchase Contribution % Donut Chart: Shows top 10 vendor share with 65.7% concentration in</w:t>
      </w:r>
      <w:r>
        <w:t xml:space="preserve"> top vendors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 xml:space="preserve">Top Vendors By Sales </w:t>
      </w:r>
      <w:proofErr w:type="spellStart"/>
      <w:r>
        <w:t>Treemap</w:t>
      </w:r>
      <w:proofErr w:type="spellEnd"/>
      <w:r>
        <w:t>: Visual representation of vendor size by purchase volume — DIAGEO leads at $50.96M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 xml:space="preserve">Low Performing Vendors Bar Chart: Horizontal bar chart showing bottom 5 vendors by average purchase value with dark header and red </w:t>
      </w:r>
      <w:r>
        <w:t>bars</w:t>
      </w:r>
    </w:p>
    <w:p w:rsidR="00BB7D87" w:rsidRDefault="00D7217E">
      <w:pPr>
        <w:spacing w:before="80" w:after="80"/>
        <w:jc w:val="both"/>
      </w:pPr>
      <w:r>
        <w:t>The dashboard uses a professional dark navy header theme with color-coded visuals to enable instant insight extraction. DAX measures were created for all 5 KPIs ensuring accurate real-time calculations.</w:t>
      </w:r>
    </w:p>
    <w:p w:rsidR="00BB7D87" w:rsidRDefault="00D7217E">
      <w:pPr>
        <w:pStyle w:val="Heading1"/>
      </w:pPr>
      <w:r>
        <w:t>6. Hypothesis Testing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5860"/>
      </w:tblGrid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Null Hypothesis (H0)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No significant difference between top &amp; low performing vendors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Alt Hypothesis (H1)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Top vendors significantly outperform low vendors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Test Applied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Independent Samples T-Test (</w:t>
            </w:r>
            <w:proofErr w:type="spellStart"/>
            <w:r>
              <w:rPr>
                <w:sz w:val="22"/>
                <w:szCs w:val="22"/>
              </w:rPr>
              <w:t>scipy.stats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lastRenderedPageBreak/>
              <w:t>Significance Level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Alpha = 0.05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Result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H0 REJECTED — Difference is statistically significant (p &lt; 0.05)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Conclusion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Vendor performance segmentation is statistically validated</w:t>
            </w:r>
          </w:p>
        </w:tc>
      </w:tr>
    </w:tbl>
    <w:p w:rsidR="00BB7D87" w:rsidRDefault="00BB7D87">
      <w:pPr>
        <w:spacing w:before="200"/>
      </w:pPr>
    </w:p>
    <w:p w:rsidR="00BB7D87" w:rsidRDefault="00D7217E">
      <w:pPr>
        <w:pStyle w:val="Heading1"/>
      </w:pPr>
      <w:r>
        <w:t>7. Business Recommendations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 xml:space="preserve">Renegotiate or exit contracts with bottom 5 vendors (FLAVOR ESSENCE, SILVER MOUNTAIN etc.) — </w:t>
      </w:r>
      <w:proofErr w:type="spellStart"/>
      <w:r>
        <w:t>avg</w:t>
      </w:r>
      <w:proofErr w:type="spellEnd"/>
      <w:r>
        <w:t xml:space="preserve"> purchase below $65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Reduce vendor concentration — top 10 vendors control 65.7% of purchases creating supply chain vulnerability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Develop immediate clearance stra</w:t>
      </w:r>
      <w:r>
        <w:t>tegy for $49M unsold capital through promotions and bulk discounts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Increase purchase allocation to DIAGEO NORTH AMERICA and MARTIGNETTI given their dominant sales contribution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Implement quarterly vendor scorecards using Power BI dashboard for continuous performance monitoring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 xml:space="preserve">Diversify vendor base by </w:t>
      </w:r>
      <w:proofErr w:type="spellStart"/>
      <w:r>
        <w:t>onboarding</w:t>
      </w:r>
      <w:proofErr w:type="spellEnd"/>
      <w:r>
        <w:t xml:space="preserve"> 3-5 new vendors in categories dominated by single suppliers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Use predictive analytics on sales data to improve demand fo</w:t>
      </w:r>
      <w:r>
        <w:t>recasting and reduce future unsold capital</w:t>
      </w:r>
    </w:p>
    <w:p w:rsidR="00BB7D87" w:rsidRDefault="00D7217E">
      <w:pPr>
        <w:pStyle w:val="Heading1"/>
      </w:pPr>
      <w:r>
        <w:t>8. Technologies Used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4000"/>
        <w:gridCol w:w="2360"/>
      </w:tblGrid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 xml:space="preserve">Python (Pandas, </w:t>
            </w: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Data loading, cleaning &amp; analysis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3.x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SQLite3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SQL database &amp; KPI computation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Built-in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Seaborn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EDA visualizations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Latest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roofErr w:type="spellStart"/>
            <w:r>
              <w:rPr>
                <w:sz w:val="22"/>
                <w:szCs w:val="22"/>
              </w:rPr>
              <w:t>Scipy</w:t>
            </w:r>
            <w:proofErr w:type="spellEnd"/>
            <w:r>
              <w:rPr>
                <w:sz w:val="22"/>
                <w:szCs w:val="22"/>
              </w:rPr>
              <w:t xml:space="preserve"> (stats)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Hypothesis testing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Latest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Power BI Desktop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Interactive dashboard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Latest 2024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DAX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KPI measure computation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Power BI DAX</w:t>
            </w:r>
          </w:p>
        </w:tc>
      </w:tr>
      <w:tr w:rsidR="00BB7D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proofErr w:type="spellStart"/>
            <w:r>
              <w:rPr>
                <w:sz w:val="22"/>
                <w:szCs w:val="22"/>
              </w:rPr>
              <w:t>Jupyter</w:t>
            </w:r>
            <w:proofErr w:type="spellEnd"/>
            <w:r>
              <w:rPr>
                <w:sz w:val="22"/>
                <w:szCs w:val="22"/>
              </w:rPr>
              <w:t xml:space="preserve"> Notebook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Development environment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B7D87" w:rsidRDefault="00D7217E">
            <w:r>
              <w:rPr>
                <w:sz w:val="22"/>
                <w:szCs w:val="22"/>
              </w:rPr>
              <w:t>Latest</w:t>
            </w:r>
          </w:p>
        </w:tc>
      </w:tr>
    </w:tbl>
    <w:p w:rsidR="00BB7D87" w:rsidRDefault="00BB7D87">
      <w:pPr>
        <w:spacing w:before="200"/>
      </w:pPr>
    </w:p>
    <w:p w:rsidR="00BB7D87" w:rsidRDefault="00D7217E">
      <w:pPr>
        <w:pStyle w:val="Heading1"/>
      </w:pPr>
      <w:r>
        <w:lastRenderedPageBreak/>
        <w:t>9. Conclusion</w:t>
      </w:r>
    </w:p>
    <w:p w:rsidR="00BB7D87" w:rsidRDefault="00D7217E">
      <w:pPr>
        <w:spacing w:before="80" w:after="80"/>
        <w:jc w:val="both"/>
      </w:pPr>
      <w:r>
        <w:t>This Vendor Performance Analysis project successfully delivered a complete end-to-end data analytics solution using SQL, Python, and Power BI. By analyzing over 2GB of real transactional data across 6 datasets, critical insights were extracted about vendor</w:t>
      </w:r>
      <w:r>
        <w:t xml:space="preserve"> contributions, procurement efficiency, and business profitability.</w:t>
      </w:r>
    </w:p>
    <w:p w:rsidR="00BB7D87" w:rsidRDefault="00D7217E">
      <w:pPr>
        <w:spacing w:before="80" w:after="80"/>
        <w:jc w:val="both"/>
      </w:pPr>
      <w:r>
        <w:t>The analysis revealed a healthy gross profit of $130.16M with a 28.79% profit margin. However, $49M in unsold capital and significant vendor concentration (top 10 vendors = 65.7% of purcha</w:t>
      </w:r>
      <w:r>
        <w:t>ses) represent key areas requiring management attention. The bottom 5 low-performing vendors with average purchases below $65 should be reviewed for contract renegotiation or exit.</w:t>
      </w:r>
    </w:p>
    <w:p w:rsidR="00BB7D87" w:rsidRDefault="00D7217E">
      <w:pPr>
        <w:spacing w:before="80" w:after="80"/>
        <w:jc w:val="both"/>
      </w:pPr>
      <w:r>
        <w:t>The interactive Power BI dashboard provides procurement teams with a real-t</w:t>
      </w:r>
      <w:r>
        <w:t>ime tool to monitor vendor performance continuously. The statistical validation through hypothesis testing confirms that the vendor segmentation approach is scientifically sound and can be reliably used for procurement decision-making.</w:t>
      </w:r>
    </w:p>
    <w:p w:rsidR="00BB7D87" w:rsidRDefault="00D7217E">
      <w:pPr>
        <w:pStyle w:val="Heading1"/>
      </w:pPr>
      <w:r>
        <w:t>10. References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Mishr</w:t>
      </w:r>
      <w:r>
        <w:t>a</w:t>
      </w:r>
      <w:proofErr w:type="spellEnd"/>
      <w:r>
        <w:t>, A. (2024). Vendor Performance Analysis Project. YouTube Tutorial. Topmate.io/</w:t>
      </w:r>
      <w:proofErr w:type="spellStart"/>
      <w:r>
        <w:t>ayushi_mishra</w:t>
      </w:r>
      <w:proofErr w:type="spellEnd"/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McKinney, W. (2022). Python for Data Analysis, 3rd Edition. O'Reilly Media.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Beaulieu, A. (2020). Learning SQL, 3rd Edition. O'Reilly Media.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r>
        <w:t>Microsoft. (2024). Power BI Documentation &amp; DAX Reference. Microsoft Learn.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Scipy</w:t>
      </w:r>
      <w:proofErr w:type="spellEnd"/>
      <w:r>
        <w:t xml:space="preserve"> Community. (2024). </w:t>
      </w:r>
      <w:proofErr w:type="spellStart"/>
      <w:r>
        <w:t>scipy.stats</w:t>
      </w:r>
      <w:proofErr w:type="spellEnd"/>
      <w:r>
        <w:t xml:space="preserve"> — Statistical Functions Documentation.</w:t>
      </w:r>
    </w:p>
    <w:p w:rsidR="00BB7D87" w:rsidRDefault="00D7217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Kaggle</w:t>
      </w:r>
      <w:proofErr w:type="spellEnd"/>
      <w:r>
        <w:t>. (2024). Inventory &amp; Sales Dataset. kaggle.com</w:t>
      </w:r>
    </w:p>
    <w:sectPr w:rsidR="00BB7D87" w:rsidSect="00BB7D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E05AF"/>
    <w:multiLevelType w:val="hybridMultilevel"/>
    <w:tmpl w:val="03FA107C"/>
    <w:lvl w:ilvl="0" w:tplc="E04A10F8">
      <w:start w:val="1"/>
      <w:numFmt w:val="bullet"/>
      <w:lvlText w:val="●"/>
      <w:lvlJc w:val="left"/>
      <w:pPr>
        <w:ind w:left="720" w:hanging="360"/>
      </w:pPr>
    </w:lvl>
    <w:lvl w:ilvl="1" w:tplc="7E70F156">
      <w:start w:val="1"/>
      <w:numFmt w:val="bullet"/>
      <w:lvlText w:val="○"/>
      <w:lvlJc w:val="left"/>
      <w:pPr>
        <w:ind w:left="1440" w:hanging="360"/>
      </w:pPr>
    </w:lvl>
    <w:lvl w:ilvl="2" w:tplc="1AC44058">
      <w:start w:val="1"/>
      <w:numFmt w:val="bullet"/>
      <w:lvlText w:val="■"/>
      <w:lvlJc w:val="left"/>
      <w:pPr>
        <w:ind w:left="2160" w:hanging="360"/>
      </w:pPr>
    </w:lvl>
    <w:lvl w:ilvl="3" w:tplc="F6720E3C">
      <w:start w:val="1"/>
      <w:numFmt w:val="bullet"/>
      <w:lvlText w:val="●"/>
      <w:lvlJc w:val="left"/>
      <w:pPr>
        <w:ind w:left="2880" w:hanging="360"/>
      </w:pPr>
    </w:lvl>
    <w:lvl w:ilvl="4" w:tplc="916A2368">
      <w:start w:val="1"/>
      <w:numFmt w:val="bullet"/>
      <w:lvlText w:val="○"/>
      <w:lvlJc w:val="left"/>
      <w:pPr>
        <w:ind w:left="3600" w:hanging="360"/>
      </w:pPr>
    </w:lvl>
    <w:lvl w:ilvl="5" w:tplc="CEF40E08">
      <w:start w:val="1"/>
      <w:numFmt w:val="bullet"/>
      <w:lvlText w:val="■"/>
      <w:lvlJc w:val="left"/>
      <w:pPr>
        <w:ind w:left="4320" w:hanging="360"/>
      </w:pPr>
    </w:lvl>
    <w:lvl w:ilvl="6" w:tplc="CF64ED52">
      <w:start w:val="1"/>
      <w:numFmt w:val="bullet"/>
      <w:lvlText w:val="●"/>
      <w:lvlJc w:val="left"/>
      <w:pPr>
        <w:ind w:left="5040" w:hanging="360"/>
      </w:pPr>
    </w:lvl>
    <w:lvl w:ilvl="7" w:tplc="0F0A44EC">
      <w:start w:val="1"/>
      <w:numFmt w:val="bullet"/>
      <w:lvlText w:val="●"/>
      <w:lvlJc w:val="left"/>
      <w:pPr>
        <w:ind w:left="5760" w:hanging="360"/>
      </w:pPr>
    </w:lvl>
    <w:lvl w:ilvl="8" w:tplc="A7DE772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CFF30DB"/>
    <w:multiLevelType w:val="hybridMultilevel"/>
    <w:tmpl w:val="091608DA"/>
    <w:lvl w:ilvl="0" w:tplc="E8A0E7E0">
      <w:start w:val="1"/>
      <w:numFmt w:val="bullet"/>
      <w:lvlText w:val="•"/>
      <w:lvlJc w:val="left"/>
      <w:pPr>
        <w:ind w:left="720" w:hanging="360"/>
      </w:pPr>
    </w:lvl>
    <w:lvl w:ilvl="1" w:tplc="37947F14">
      <w:numFmt w:val="decimal"/>
      <w:lvlText w:val=""/>
      <w:lvlJc w:val="left"/>
    </w:lvl>
    <w:lvl w:ilvl="2" w:tplc="86E0D846">
      <w:numFmt w:val="decimal"/>
      <w:lvlText w:val=""/>
      <w:lvlJc w:val="left"/>
    </w:lvl>
    <w:lvl w:ilvl="3" w:tplc="84EAA7AE">
      <w:numFmt w:val="decimal"/>
      <w:lvlText w:val=""/>
      <w:lvlJc w:val="left"/>
    </w:lvl>
    <w:lvl w:ilvl="4" w:tplc="62408C64">
      <w:numFmt w:val="decimal"/>
      <w:lvlText w:val=""/>
      <w:lvlJc w:val="left"/>
    </w:lvl>
    <w:lvl w:ilvl="5" w:tplc="4404BA4A">
      <w:numFmt w:val="decimal"/>
      <w:lvlText w:val=""/>
      <w:lvlJc w:val="left"/>
    </w:lvl>
    <w:lvl w:ilvl="6" w:tplc="5DEC7E24">
      <w:numFmt w:val="decimal"/>
      <w:lvlText w:val=""/>
      <w:lvlJc w:val="left"/>
    </w:lvl>
    <w:lvl w:ilvl="7" w:tplc="88D240D2">
      <w:numFmt w:val="decimal"/>
      <w:lvlText w:val=""/>
      <w:lvlJc w:val="left"/>
    </w:lvl>
    <w:lvl w:ilvl="8" w:tplc="07F237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BB7D87"/>
    <w:rsid w:val="00BB7D87"/>
    <w:rsid w:val="00D72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B7D87"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rsid w:val="00BB7D87"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BB7D87"/>
    <w:pPr>
      <w:outlineLvl w:val="2"/>
    </w:pPr>
    <w:rPr>
      <w:color w:val="1F4D78"/>
    </w:rPr>
  </w:style>
  <w:style w:type="paragraph" w:styleId="Heading4">
    <w:name w:val="heading 4"/>
    <w:qFormat/>
    <w:rsid w:val="00BB7D8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B7D87"/>
    <w:pPr>
      <w:outlineLvl w:val="4"/>
    </w:pPr>
    <w:rPr>
      <w:color w:val="2E74B5"/>
    </w:rPr>
  </w:style>
  <w:style w:type="paragraph" w:styleId="Heading6">
    <w:name w:val="heading 6"/>
    <w:qFormat/>
    <w:rsid w:val="00BB7D8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B7D87"/>
    <w:rPr>
      <w:sz w:val="56"/>
      <w:szCs w:val="56"/>
    </w:rPr>
  </w:style>
  <w:style w:type="paragraph" w:customStyle="1" w:styleId="Strong1">
    <w:name w:val="Strong1"/>
    <w:qFormat/>
    <w:rsid w:val="00BB7D87"/>
    <w:rPr>
      <w:b/>
      <w:bCs/>
    </w:rPr>
  </w:style>
  <w:style w:type="paragraph" w:styleId="ListParagraph">
    <w:name w:val="List Paragraph"/>
    <w:qFormat/>
    <w:rsid w:val="00BB7D87"/>
  </w:style>
  <w:style w:type="character" w:styleId="Hyperlink">
    <w:name w:val="Hyperlink"/>
    <w:uiPriority w:val="99"/>
    <w:unhideWhenUsed/>
    <w:rsid w:val="00BB7D8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B7D8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B7D8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BB7D87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1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1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1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630">
          <w:marLeft w:val="2146"/>
          <w:marRight w:val="2146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1596</Words>
  <Characters>9101</Characters>
  <Application>Microsoft Office Word</Application>
  <DocSecurity>0</DocSecurity>
  <Lines>75</Lines>
  <Paragraphs>21</Paragraphs>
  <ScaleCrop>false</ScaleCrop>
  <Company>HP</Company>
  <LinksUpToDate>false</LinksUpToDate>
  <CharactersWithSpaces>10676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KAUSHAL</cp:lastModifiedBy>
  <cp:revision>2</cp:revision>
  <dcterms:created xsi:type="dcterms:W3CDTF">2026-03-21T07:17:00Z</dcterms:created>
  <dcterms:modified xsi:type="dcterms:W3CDTF">2026-03-26T12:19:00Z</dcterms:modified>
</cp:coreProperties>
</file>