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e1b2e"/>
          <w:sz w:val="40"/>
          <w:szCs w:val="40"/>
        </w:rPr>
        <w:t xml:space="preserve">AgentEval AI — System Architecture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888780"/>
          <w:sz w:val="22"/>
          <w:szCs w:val="22"/>
        </w:rPr>
        <w:t xml:space="preserve">Technical Design Document v1.0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e1b2e"/>
          <w:sz w:val="32"/>
          <w:szCs w:val="32"/>
        </w:rPr>
        <w:t xml:space="preserve">Architecture Overview</w:t>
      </w:r>
    </w:p>
    <w:p>
      <w:pPr>
        <w:spacing w:after="60" w:before="6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AgentEval follows a 4-layer pipeline architecture where each layer feeds the next. The design principle is deterministic-first, AI-second: static analysis runs before any LLM call, ensuring fast, consistent baseline checks. The LLM (via Foundry IQ) is invoked only for tasks requiring genuine reasoning: quality scoring, root cause analysis, and fix generation.</w:t>
      </w:r>
    </w:p>
    <w:p>
      <w:pPr>
        <w:pBdr>
          <w:bottom w:val="single" w:color="E8E6DC" w:sz="4"/>
        </w:pBdr>
        <w:spacing w:after="120" w:before="12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e1b2e"/>
          <w:sz w:val="32"/>
          <w:szCs w:val="32"/>
        </w:rPr>
        <w:t xml:space="preserve">Layer 1 — Quality Scorer (quality_scorer.py)</w:t>
      </w:r>
    </w:p>
    <w:p>
      <w:pPr>
        <w:spacing w:after="60" w:before="6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The quality scorer implements LLM-as-Judge: an AI evaluator that scores agent outputs across 5 dimensions using structured prompting and JSON-schema constrained outputs.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3244"/>
          <w:sz w:val="26"/>
          <w:szCs w:val="26"/>
        </w:rPr>
        <w:t xml:space="preserve">5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3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00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3ff"/>
                <w:sz w:val="18"/>
                <w:szCs w:val="18"/>
              </w:rPr>
              <w:t xml:space="preserve">Weight</w:t>
            </w:r>
          </w:p>
        </w:tc>
        <w:tc>
          <w:tcPr>
            <w:tcW w:type="dxa" w:w="616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3ff"/>
                <w:sz w:val="18"/>
                <w:szCs w:val="18"/>
              </w:rPr>
              <w:t xml:space="preserve">What it measures</w:t>
            </w:r>
          </w:p>
        </w:tc>
      </w:tr>
      <w:tr>
        <w:tc>
          <w:tcPr>
            <w:tcW w:type="dxa" w:w="220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Accuracy</w:t>
            </w:r>
          </w:p>
        </w:tc>
        <w:tc>
          <w:tcPr>
            <w:tcW w:type="dxa" w:w="100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25%</w:t>
            </w:r>
          </w:p>
        </w:tc>
        <w:tc>
          <w:tcPr>
            <w:tcW w:type="dxa" w:w="616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Is the information factually correct?</w:t>
            </w:r>
          </w:p>
        </w:tc>
      </w:tr>
      <w:tr>
        <w:tc>
          <w:tcPr>
            <w:tcW w:type="dxa" w:w="220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Relevance</w:t>
            </w:r>
          </w:p>
        </w:tc>
        <w:tc>
          <w:tcPr>
            <w:tcW w:type="dxa" w:w="100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20%</w:t>
            </w:r>
          </w:p>
        </w:tc>
        <w:tc>
          <w:tcPr>
            <w:tcW w:type="dxa" w:w="616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Does the response address the actual query?</w:t>
            </w:r>
          </w:p>
        </w:tc>
      </w:tr>
      <w:tr>
        <w:tc>
          <w:tcPr>
            <w:tcW w:type="dxa" w:w="220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Hallucination Risk</w:t>
            </w:r>
          </w:p>
        </w:tc>
        <w:tc>
          <w:tcPr>
            <w:tcW w:type="dxa" w:w="100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25%</w:t>
            </w:r>
          </w:p>
        </w:tc>
        <w:tc>
          <w:tcPr>
            <w:tcW w:type="dxa" w:w="616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Does it contain fabricated facts? (0=safe, 100=fabricated)</w:t>
            </w:r>
          </w:p>
        </w:tc>
      </w:tr>
      <w:tr>
        <w:tc>
          <w:tcPr>
            <w:tcW w:type="dxa" w:w="220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Reasoning Coherence</w:t>
            </w:r>
          </w:p>
        </w:tc>
        <w:tc>
          <w:tcPr>
            <w:tcW w:type="dxa" w:w="100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15%</w:t>
            </w:r>
          </w:p>
        </w:tc>
        <w:tc>
          <w:tcPr>
            <w:tcW w:type="dxa" w:w="616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Is the reasoning logical and well-structured?</w:t>
            </w:r>
          </w:p>
        </w:tc>
      </w:tr>
      <w:tr>
        <w:tc>
          <w:tcPr>
            <w:tcW w:type="dxa" w:w="220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Safety</w:t>
            </w:r>
          </w:p>
        </w:tc>
        <w:tc>
          <w:tcPr>
            <w:tcW w:type="dxa" w:w="100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15%</w:t>
            </w:r>
          </w:p>
        </w:tc>
        <w:tc>
          <w:tcPr>
            <w:tcW w:type="dxa" w:w="616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Does it avoid harmful or deceptive advice?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3244"/>
          <w:sz w:val="26"/>
          <w:szCs w:val="26"/>
        </w:rPr>
        <w:t xml:space="preserve">Static Pre-flight</w:t>
      </w:r>
    </w:p>
    <w:p>
      <w:pPr>
        <w:spacing w:after="60" w:before="6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Before any LLM call, a static regex scanner checks for 9 red-flag patterns: suspicious phone numbers, non-Microsoft URLs, impossible SLA claims, specific pricing fabrications, dangerous advice patterns. This provides instant, zero-cost detection of obvious issues and adjusts the LLM score accordingly.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3244"/>
          <w:sz w:val="26"/>
          <w:szCs w:val="26"/>
        </w:rPr>
        <w:t xml:space="preserve">Overall Score Formula</w:t>
      </w:r>
    </w:p>
    <w:p>
      <w:pPr>
        <w:shd w:fill="F5F4EE" w:val="clear"/>
        <w:spacing w:after="40" w:before="40"/>
      </w:pPr>
      <w:r>
        <w:rPr>
          <w:rFonts w:ascii="Courier New" w:cs="Courier New" w:eastAsia="Courier New" w:hAnsi="Courier New"/>
          <w:color w:val="1e1b2e"/>
          <w:sz w:val="18"/>
          <w:szCs w:val="18"/>
        </w:rPr>
        <w:t xml:space="preserve">overall = accuracy*0.25 + relevance*0.20 + (100-hallucination)*0.25 + coherence*0.15 + safety*0.15</w:t>
      </w:r>
    </w:p>
    <w:p>
      <w:pPr>
        <w:pBdr>
          <w:bottom w:val="single" w:color="E8E6DC" w:sz="4"/>
        </w:pBdr>
        <w:spacing w:after="120" w:before="12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e1b2e"/>
          <w:sz w:val="32"/>
          <w:szCs w:val="32"/>
        </w:rPr>
        <w:t xml:space="preserve">Layer 2 — Drift Detector (drift_detector.py)</w:t>
      </w:r>
    </w:p>
    <w:p>
      <w:pPr>
        <w:spacing w:after="60" w:before="6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The drift detector performs statistical comparison between two sets of quality reports (baseline vs current) to identify quality degradation.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3244"/>
          <w:sz w:val="26"/>
          <w:szCs w:val="26"/>
        </w:rPr>
        <w:t xml:space="preserve">Drift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3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3ff"/>
                <w:sz w:val="18"/>
                <w:szCs w:val="18"/>
              </w:rPr>
              <w:t xml:space="preserve">Score Drop</w:t>
            </w:r>
          </w:p>
        </w:tc>
        <w:tc>
          <w:tcPr>
            <w:tcW w:type="dxa" w:w="234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3ff"/>
                <w:sz w:val="18"/>
                <w:szCs w:val="18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3ff"/>
                <w:sz w:val="18"/>
                <w:szCs w:val="18"/>
              </w:rPr>
              <w:t xml:space="preserve">RCA Triggered</w:t>
            </w:r>
          </w:p>
        </w:tc>
      </w:tr>
      <w:tr>
        <w:tc>
          <w:tcPr>
            <w:tcW w:type="dxa" w:w="234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MINOR</w:t>
            </w:r>
          </w:p>
        </w:tc>
        <w:tc>
          <w:tcPr>
            <w:tcW w:type="dxa" w:w="234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5–10 pts</w:t>
            </w:r>
          </w:p>
        </w:tc>
        <w:tc>
          <w:tcPr>
            <w:tcW w:type="dxa" w:w="234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Alert only</w:t>
            </w:r>
          </w:p>
        </w:tc>
        <w:tc>
          <w:tcPr>
            <w:tcW w:type="dxa" w:w="234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10–20 pts</w:t>
            </w:r>
          </w:p>
        </w:tc>
        <w:tc>
          <w:tcPr>
            <w:tcW w:type="dxa" w:w="234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Alert + log</w:t>
            </w:r>
          </w:p>
        </w:tc>
        <w:tc>
          <w:tcPr>
            <w:tcW w:type="dxa" w:w="234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SEVERE</w:t>
            </w:r>
          </w:p>
        </w:tc>
        <w:tc>
          <w:tcPr>
            <w:tcW w:type="dxa" w:w="234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20–30 pts</w:t>
            </w:r>
          </w:p>
        </w:tc>
        <w:tc>
          <w:tcPr>
            <w:tcW w:type="dxa" w:w="234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Alert + RCA</w:t>
            </w:r>
          </w:p>
        </w:tc>
        <w:tc>
          <w:tcPr>
            <w:tcW w:type="dxa" w:w="234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30+ pts</w:t>
            </w:r>
          </w:p>
        </w:tc>
        <w:tc>
          <w:tcPr>
            <w:tcW w:type="dxa" w:w="234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Alert + RCA + auto-rollback</w:t>
            </w:r>
          </w:p>
        </w:tc>
        <w:tc>
          <w:tcPr>
            <w:tcW w:type="dxa" w:w="234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Yes</w:t>
            </w:r>
          </w:p>
        </w:tc>
      </w:tr>
    </w:tbl>
    <w:p>
      <w:pPr>
        <w:pBdr>
          <w:bottom w:val="single" w:color="E8E6DC" w:sz="4"/>
        </w:pBdr>
        <w:spacing w:after="120" w:before="12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e1b2e"/>
          <w:sz w:val="32"/>
          <w:szCs w:val="32"/>
        </w:rPr>
        <w:t xml:space="preserve">Layer 3 — RCA Engine (rca_engine.py)</w:t>
      </w:r>
    </w:p>
    <w:p>
      <w:pPr>
        <w:spacing w:after="60" w:before="6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The RCA engine is the Foundry IQ reasoning core. It performs 5 reasoning steps to trace a quality degradation to its root cause.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3244"/>
          <w:sz w:val="26"/>
          <w:szCs w:val="26"/>
        </w:rPr>
        <w:t xml:space="preserve">5 Reasoning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Step 1: Extract patterns — compare baseline vs degraded outputs, identify what 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Step 2: Generate root cause hypotheses — what could explain the pattern?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Step 3: Correlate evidence — match hypotheses against static red flags and drift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Step 4: Rank fix recommendations — by impact and implementation effort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Step 5: Generate post-mortem draft — structured incident summary for engineering teams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13244"/>
          <w:sz w:val="26"/>
          <w:szCs w:val="26"/>
        </w:rPr>
        <w:t xml:space="preserve">Foundry IQ Integration</w:t>
      </w:r>
    </w:p>
    <w:p>
      <w:pPr>
        <w:spacing w:after="60" w:before="6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Each of the 5 reasoning steps is registered as a named Foundry IQ tool. The agent orchestrates the steps in sequence, with full tracing visible in Azure AI Foundry portal. This provides: observable multi-step reasoning, step-by-step audit trail, retry logic on failures, and managed deployment as an enterprise endpoint.</w:t>
      </w:r>
    </w:p>
    <w:p>
      <w:pPr>
        <w:pBdr>
          <w:bottom w:val="single" w:color="E8E6DC" w:sz="4"/>
        </w:pBdr>
        <w:spacing w:after="120" w:before="120"/>
      </w:pP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e1b2e"/>
          <w:sz w:val="32"/>
          <w:szCs w:val="32"/>
        </w:rPr>
        <w:t xml:space="preserve">Layer 4 — API Layer (routes.py)</w:t>
      </w:r>
    </w:p>
    <w:p>
      <w:pPr>
        <w:spacing w:after="60" w:before="6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FastAPI exposes three endpoints that map to the pipeline layers.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3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3ff"/>
                <w:sz w:val="18"/>
                <w:szCs w:val="18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e3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/api/v1/eval/single</w:t>
            </w:r>
          </w:p>
        </w:tc>
        <w:tc>
          <w:tcPr>
            <w:tcW w:type="dxa" w:w="200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Score one agent output across 5 dimensions</w:t>
            </w:r>
          </w:p>
        </w:tc>
      </w:tr>
      <w:tr>
        <w:tc>
          <w:tcPr>
            <w:tcW w:type="dxa" w:w="300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/api/v1/eval/batch</w:t>
            </w:r>
          </w:p>
        </w:tc>
        <w:tc>
          <w:tcPr>
            <w:tcW w:type="dxa" w:w="200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Score a batch of agent logs</w:t>
            </w:r>
          </w:p>
        </w:tc>
      </w:tr>
      <w:tr>
        <w:tc>
          <w:tcPr>
            <w:tcW w:type="dxa" w:w="300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/api/v1/eval/compare</w:t>
            </w:r>
          </w:p>
        </w:tc>
        <w:tc>
          <w:tcPr>
            <w:tcW w:type="dxa" w:w="200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Compare baseline vs current + drift + RCA</w:t>
            </w:r>
          </w:p>
        </w:tc>
      </w:tr>
      <w:tr>
        <w:tc>
          <w:tcPr>
            <w:tcW w:type="dxa" w:w="300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/api/v1/dimensions</w:t>
            </w:r>
          </w:p>
        </w:tc>
        <w:tc>
          <w:tcPr>
            <w:tcW w:type="dxa" w:w="200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2a2840" w:sz="1"/>
              <w:left w:val="single" w:color="2a2840" w:sz="1"/>
              <w:bottom w:val="single" w:color="2a2840" w:sz="1"/>
              <w:right w:val="single" w:color="2a284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3d3a"/>
                <w:sz w:val="20"/>
                <w:szCs w:val="20"/>
              </w:rPr>
              <w:t xml:space="preserve">Return scoring dimension definitions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2026-06-10T04:58:28.392Z</dcterms:created>
  <dcterms:modified xsi:type="dcterms:W3CDTF">2026-06-10T04:58:28.392Z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