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PERSONALISED MULTI-TIER FEDERATED LEARNING FOR NETWORK INTRUSION DETECTION</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Introduction</w:t>
      </w:r>
    </w:p>
    <w:p>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3"/>
      </w:pPr>
      <w:r>
        <w:t xml:space="preserve">Background</w:t>
      </w:r>
    </w:p>
    <w:p>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r>
        <w:t xml:space="preserve">Federated learning (Mcmahan 2017) offers a way around this. Each participant trains on its own records and transmits only model updates, which a server averages into a shared model. No raw traffic leaves the participant.</w:t>
      </w:r>
    </w:p>
    <w:p>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3"/>
      </w:pPr>
      <w:r>
        <w:t xml:space="preserve">The base method</w:t>
      </w:r>
    </w:p>
    <w:p>
      <w:pPr/>
      <w:r>
        <w:rPr>
          <w:highlight w:val="yellow"/>
        </w:rPr>
        <w:t xml:space="preserve">This project takes PerMFL (Permfl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3"/>
      </w:pPr>
      <w:r>
        <w:t xml:space="preserve">Problem statement</w:t>
      </w:r>
    </w:p>
    <w:p>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r>
        <w:t xml:space="preserve">The project asks whether the method transfers, what has to change for it to transfer, and whether the architectural claim that motivates it holds on this kind of data.</w:t>
      </w:r>
    </w:p>
    <w:p>
      <w:pPr>
        <w:pStyle w:val="Heading3"/>
      </w:pPr>
      <w:r>
        <w:t xml:space="preserve">Aims and objectives</w:t>
      </w:r>
    </w:p>
    <w:p>
      <w:pPr/>
      <w:r>
        <w:t xml:space="preserve">The aim is to establish whether PerMFL is suitable for network intrusion detection and, where it is not, to identify why and what corrects it.</w:t>
      </w:r>
    </w:p>
    <w:p>
      <w:pPr>
        <w:pStyle w:val="ListParagraph"/>
        <w:numPr>
          <w:ilvl w:val="0"/>
          <w:numId w:val="2"/>
        </w:numPr>
      </w:pPr>
      <w:r>
        <w:t xml:space="preserve">Reproduce the published result on the authors' own dataset, to</w:t>
      </w:r>
    </w:p>
    <w:p>
      <w:pPr/>
      <w:r>
        <w:t xml:space="preserve">establish that the implementation under test behaves as the paper         describes.</w:t>
      </w:r>
    </w:p>
    <w:p>
      <w:pPr>
        <w:pStyle w:val="ListParagraph"/>
        <w:numPr>
          <w:ilvl w:val="0"/>
          <w:numId w:val="2"/>
        </w:numPr>
      </w:pPr>
      <w:r>
        <w:t xml:space="preserve">Build a leakage-free data pipeline for CICIDS2017, NSL-KDD and</w:t>
      </w:r>
    </w:p>
    <w:p>
      <w:pPr/>
      <w:r>
        <w:t xml:space="preserve">TON-IoT, with a documented partitioning scheme and an evaluation         protocol appropriate to imbalanced multi-class detection.</w:t>
      </w:r>
    </w:p>
    <w:p>
      <w:pPr>
        <w:pStyle w:val="ListParagraph"/>
        <w:numPr>
          <w:ilvl w:val="0"/>
          <w:numId w:val="2"/>
        </w:numPr>
      </w:pPr>
      <w:r>
        <w:t xml:space="preserve">Measure the method under controlled variation of client heterogeneity,</w:t>
      </w:r>
    </w:p>
    <w:p>
      <w:pPr/>
      <w:r>
        <w:t xml:space="preserve">reporting each result against the floor a trivial classifier achieves         and the ceiling the same model reaches without federation.</w:t>
      </w:r>
    </w:p>
    <w:p>
      <w:pPr>
        <w:pStyle w:val="ListParagraph"/>
        <w:numPr>
          <w:ilvl w:val="0"/>
          <w:numId w:val="2"/>
        </w:numPr>
      </w:pPr>
      <w:r>
        <w:t xml:space="preserve">Test the architectural premise directly by varying the team structure</w:t>
      </w:r>
    </w:p>
    <w:p>
      <w:pPr/>
      <w:r>
        <w:t xml:space="preserve">the method is built around.</w:t>
      </w:r>
    </w:p>
    <w:p>
      <w:pPr>
        <w:pStyle w:val="ListParagraph"/>
        <w:numPr>
          <w:ilvl w:val="0"/>
          <w:numId w:val="2"/>
        </w:numPr>
      </w:pPr>
      <w:r>
        <w:t xml:space="preserve">Where the method underperforms, identify the mechanism and evaluate a</w:t>
      </w:r>
    </w:p>
    <w:p>
      <w:pPr/>
      <w:r>
        <w:t xml:space="preserve">correction.</w:t>
      </w:r>
    </w:p>
    <w:p>
      <w:pPr>
        <w:pStyle w:val="Heading3"/>
      </w:pPr>
      <w:r>
        <w:t xml:space="preserve">Contributions</w:t>
      </w:r>
    </w:p>
    <w:p>
      <w:pPr/>
      <w:r>
        <w:t xml:space="preserve">The work makes four contributions.</w:t>
      </w:r>
    </w:p>
    <w:p>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3"/>
      </w:pPr>
      <w:r>
        <w:t xml:space="preserve">Report structure</w:t>
      </w:r>
    </w:p>
    <w:p>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2"/>
      </w:pPr>
      <w:r>
        <w:t xml:space="preserve">Literature Review</w:t>
      </w:r>
    </w:p>
    <w:p>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3"/>
      </w:pPr>
      <w:r>
        <w:t xml:space="preserve">Federated learning under heterogeneity</w:t>
      </w:r>
    </w:p>
    <w:p>
      <w:pPr/>
      <w:r>
        <w:t xml:space="preserve">Federated averaging (Mcmahan 2017) trains a single global model by averaging client updates. It assumes clients hold data drawn from a similar distribution. When they do not, the averaged model degrades, and the degradation is worse the more the client distributions differ.</w:t>
      </w:r>
    </w:p>
    <w:p>
      <w:pPr/>
      <w:r>
        <w:t xml:space="preserve">Two families of response exist. Personalised methods give each client its own model while sharing structure with the others. Clustered methods group clients by similarity and share within groups rather than globally.</w:t>
      </w:r>
    </w:p>
    <w:p>
      <w:pPr/>
      <w:r>
        <w:t xml:space="preserve">pFedMe (Dinh 2020) takes the first route using Moreau envelopes. Each client solves a regularised local problem whose solution is pulled toward the global model by a penalty term, so the client model can specialise without drifting arbitrarily far. Ditto (Li 2021) and Per-FedAvg (Fallah 2020) pursue related ideas through different regularisation and meta-learning respectively.</w:t>
      </w:r>
    </w:p>
    <w:p>
      <w:pPr>
        <w:pStyle w:val="Heading3"/>
      </w:pPr>
      <w:r>
        <w:t xml:space="preserve">Clustered and multi-tier methods</w:t>
      </w:r>
    </w:p>
    <w:p>
      <w:pPr/>
      <w:r>
        <w:t xml:space="preserve">Clustered federated learning assumes clients fall into groups. Sattler et al. (Sattler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r>
        <w:t xml:space="preserve">FlexCFL (Duan 2021) adds client migration between clusters to handle distribution shift, keeping the number of clusters fixed. FedDrift (Jothimurugesan 2023) handles concept drift with both splits and merges. A recent survey (Cfl Survey 2025) organises these approaches and notes that basic clustered methods, limited to splitting, perform poorly under complex drift.</w:t>
      </w:r>
    </w:p>
    <w:p>
      <w:pPr/>
      <w:r>
        <w:t xml:space="preserve">HCFL+ (Hcfl 2025) generalises clustered federated learning into a four-tier framework with dynamic re-clustering, unifying soft and hard clustering under a common objective.</w:t>
      </w:r>
    </w:p>
    <w:p>
      <w:pPr/>
      <w:r>
        <w:t xml:space="preserve">SCMoE-PFL (Scmoe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r>
        <w:t xml:space="preserve">PerMFL (Permfl 2024) differs from all of these in providing convergence guarantees. It also differs in assuming the grouping is given rather than derived. Its device update is</w:t>
      </w:r>
    </w:p>
    <w:p>
      <w:pPr>
        <w:jc w:val="center"/>
      </w:pPr>
      <w:r>
        <w:rPr>
          <w:i/>
        </w:rPr>
        <w:t xml:space="preserve">\theta_{i,j}^{t,k,l+1} = \theta_{i,j}^{t,k,l} - \alpha\nabla f_{i,j}(\theta_{i,j}^{t,k,l}) - \alpha\lambda\left(\theta_{i,j}^{t,k,l} - w_i^{t,k}\right),</w:t>
      </w:r>
    </w:p>
    <w:p>
      <w:pPr/>
      <w:r>
        <w:t xml:space="preserve">its team update</w:t>
      </w:r>
    </w:p>
    <w:p>
      <w:pPr>
        <w:jc w:val="center"/>
      </w:pPr>
      <w:r>
        <w:rPr>
          <w:i/>
        </w:rPr>
        <w:t xml:space="preserve">w_i^{t,k+1} = (1 - \eta\lambda - \eta\gamma)\,w_i^{t,k} + \eta\gamma x^t + \lambda\eta\,\bar{\theta}_i^{t,k},</w:t>
      </w:r>
    </w:p>
    <w:p>
      <w:pPr/>
      <w:r>
        <w:t xml:space="preserve">and its global update</w:t>
      </w:r>
    </w:p>
    <w:p>
      <w:pPr>
        <w:jc w:val="center"/>
      </w:pPr>
      <w:r>
        <w:rPr>
          <w:i/>
        </w:rPr>
        <w:t xml:space="preserve">x^{t+1} = (1 - \beta\gamma)x^t + \beta\gamma\bar{w}^t.</w:t>
      </w:r>
    </w:p>
    <w:p>
      <w:pPr/>
      <w:r>
        <w:t xml:space="preserve">The parameter $\lambda$ appears in both the equation above and the equation above. Section~(see above) returns to this.</w:t>
      </w:r>
    </w:p>
    <w:p>
      <w:pPr>
        <w:pStyle w:val="Heading3"/>
      </w:pPr>
      <w:r>
        <w:t xml:space="preserve">Federated learning for intrusion detection</w:t>
      </w:r>
    </w:p>
    <w:p>
      <w:pPr/>
      <w:r>
        <w:t xml:space="preserve">CFMD-i (Cfmdi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r>
        <w:t xml:space="preserve">ClusterFed (Clusterfed 2025) uses self-supervised clustering with balanced assignment via Sinkhorn-Knopp, which prevents cluster collapse. It partitions clients by Dirichlet sampling at $\alpha = 0.1$.</w:t>
      </w:r>
    </w:p>
    <w:p>
      <w:pPr/>
      <w:r>
        <w:t xml:space="preserve">Stones From Other Hills (Soh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r>
        <w:t xml:space="preserve">Fed-ANIDS (Fedanids 2023) takes an anomaly detection approach, training autoencoders on normal traffic only and treating reconstruction error as an intrusion score.</w:t>
      </w:r>
    </w:p>
    <w:p>
      <w:pPr>
        <w:pStyle w:val="Heading3"/>
      </w:pPr>
      <w:r>
        <w:t xml:space="preserve">Data quality in CICIDS2017</w:t>
      </w:r>
    </w:p>
    <w:p>
      <w:pPr/>
      <w:r>
        <w:t xml:space="preserve">CICIDS2017 (Sharafaldin 2018) is the most used benchmark in this area, and the literature documents several defects that inflate reported results when unaddressed.</w:t>
      </w:r>
    </w:p>
    <w:p>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r>
        <w:t xml:space="preserve">Percentile clipping is applied in several published pipelines to bound the extreme values typical of flow statistics.</w:t>
      </w:r>
    </w:p>
    <w:p>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3"/>
      </w:pPr>
      <w:r>
        <w:t xml:space="preserve">Gap</w:t>
      </w:r>
    </w:p>
    <w:p>
      <w:pPr/>
      <w:r>
        <w:t xml:space="preserve">Three gaps motivate the project.</w:t>
      </w:r>
    </w:p>
    <w:p>
      <w:pPr/>
      <w:r>
        <w:t xml:space="preserve">PerMFL has not been evaluated on intrusion detection data. Its premise concerns known team structures, and intrusion detection supplies them naturally, but no published work tests it there.</w:t>
      </w:r>
    </w:p>
    <w:p>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Design</w:t>
      </w:r>
    </w:p>
    <w:p>
      <w:pPr/>
      <w:r>
        <w:t xml:space="preserve">This chapter sets out the experimental design: the architecture under test, the partitioning schemes, the evaluation protocol, and the reasoning behind each choice.</w:t>
      </w:r>
    </w:p>
    <w:p>
      <w:pPr>
        <w:pStyle w:val="Heading3"/>
      </w:pPr>
      <w:r>
        <w:t xml:space="preserve">Architecture under test</w:t>
      </w:r>
    </w:p>
    <w:p>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3"/>
      </w:pPr>
      <w:r>
        <w:t xml:space="preserve">Partitioning schemes</w:t>
      </w:r>
    </w:p>
    <w:p>
      <w:pPr/>
      <w:r>
        <w:t xml:space="preserve">How clients are constructed determines what any clustering method can recover and how much a group-level model can contribute. Four schemes are implemented.</w:t>
      </w:r>
    </w:p>
    <w:p>
      <w:pPr>
        <w:spacing w:before="180" w:after="60"/>
      </w:pPr>
      <w:r>
        <w:rPr>
          <w:b/>
          <w:i/>
        </w:rPr>
        <w:t xml:space="preserve">Attack domain</w:t>
      </w:r>
    </w:p>
    <w:p>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r>
        <w:t xml:space="preserve">This scheme is the only one that supplies ground truth. Every client carries a known domain label, so a derived partition can be scored against it with the adjusted Rand index rather than argued about through downstream accuracy.</w:t>
      </w:r>
    </w:p>
    <w:p>
      <w:pPr>
        <w:spacing w:before="180" w:after="60"/>
      </w:pPr>
      <w:r>
        <w:rPr>
          <w:b/>
          <w:i/>
        </w:rPr>
        <w:t xml:space="preserve">Label skew</w:t>
      </w:r>
    </w:p>
    <w:p>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spacing w:before="180" w:after="60"/>
      </w:pPr>
      <w:r>
        <w:rPr>
          <w:b/>
          <w:i/>
        </w:rPr>
        <w:t xml:space="preserve">Dirichlet</w:t>
      </w:r>
    </w:p>
    <w:p>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spacing w:before="180" w:after="60"/>
      </w:pPr>
      <w:r>
        <w:rPr>
          <w:b/>
          <w:i/>
        </w:rPr>
        <w:t xml:space="preserve">Host based</w:t>
      </w:r>
    </w:p>
    <w:p>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3"/>
      </w:pPr>
      <w:r>
        <w:t xml:space="preserve">Controlling and measuring heterogeneity</w:t>
      </w:r>
    </w:p>
    <w:p>
      <w:pPr/>
      <w:r>
        <w:t xml:space="preserve">Two independent controls are provided.</w:t>
      </w:r>
    </w:p>
    <w:p>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3"/>
      </w:pPr>
      <w:r>
        <w:t xml:space="preserve">Evaluation protocol</w:t>
      </w:r>
    </w:p>
    <w:p>
      <w:pPr>
        <w:spacing w:before="180" w:after="60"/>
      </w:pPr>
      <w:r>
        <w:rPr>
          <w:b/>
          <w:i/>
        </w:rPr>
        <w:t xml:space="preserve">Metrics</w:t>
      </w:r>
    </w:p>
    <w:p>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r>
        <w:t xml:space="preserve">Every result is reported against two anchors: the floor a majority-class classifier achieves, and the ceiling the same model and optimiser reach when trained centrally on the pooled data.</w:t>
      </w:r>
    </w:p>
    <w:p>
      <w:pPr>
        <w:spacing w:before="180" w:after="60"/>
      </w:pPr>
      <w:r>
        <w:rPr>
          <w:b/>
          <w:i/>
        </w:rPr>
        <w:t xml:space="preserve">Splits</w:t>
      </w:r>
    </w:p>
    <w:p>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r>
        <w:t xml:space="preserve">Both were measured. The difference between them is 0.0001 macro F1, so the random split is used for the main results and the temporal split is reported as an ablation.</w:t>
      </w:r>
    </w:p>
    <w:p>
      <w:pPr>
        <w:spacing w:before="180" w:after="60"/>
      </w:pPr>
      <w:r>
        <w:rPr>
          <w:b/>
          <w:i/>
        </w:rPr>
        <w:t xml:space="preserve">Evaluation on unseen classes</w:t>
      </w:r>
    </w:p>
    <w:p>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3"/>
      </w:pPr>
      <w:r>
        <w:t xml:space="preserve">Experimental design</w:t>
      </w:r>
    </w:p>
    <w:p>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2"/>
      </w:pPr>
      <w:r>
        <w:t xml:space="preserve">Implementation</w:t>
      </w:r>
    </w:p>
    <w:p>
      <w:pPr/>
      <w:r>
        <w:t xml:space="preserve">This chapter describes the data pipeline, the modifications made to the base implementation, and the defects found while making them.</w:t>
      </w:r>
    </w:p>
    <w:p>
      <w:pPr>
        <w:pStyle w:val="Heading3"/>
      </w:pPr>
      <w:r>
        <w:t xml:space="preserve">Environment</w:t>
      </w:r>
    </w:p>
    <w:p>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hAnsi="Consolas"/>
          <w:sz w:val="18"/>
        </w:rPr>
        <w:t xml:space="preserve">Tensor.add\_</w:t>
      </w:r>
      <w:r>
        <w:t xml:space="preserve"> that later torch releases reject, so the Per-FedAvg baseline fails outright on a current install.</w:t>
      </w:r>
    </w:p>
    <w:p>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3"/>
      </w:pPr>
      <w:r>
        <w:t xml:space="preserve">Data pipeline</w:t>
      </w:r>
    </w:p>
    <w:p>
      <w:pPr>
        <w:spacing w:before="180" w:after="60"/>
      </w:pPr>
      <w:r>
        <w:rPr>
          <w:b/>
          <w:i/>
        </w:rPr>
        <w:t xml:space="preserve">CICIDS2017</w:t>
      </w:r>
    </w:p>
    <w:p>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spacing w:before="180" w:after="60"/>
      </w:pPr>
      <w:r>
        <w:rPr>
          <w:b/>
          <w:i/>
        </w:rPr>
        <w:t xml:space="preserve">NSL-KDD and TON-IoT</w:t>
      </w:r>
    </w:p>
    <w:p>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3"/>
      </w:pPr>
      <w:r>
        <w:t xml:space="preserve">Metric instrumentation</w:t>
      </w:r>
    </w:p>
    <w:p>
      <w:pPr/>
      <w:r>
        <w:t xml:space="preserve">The base implementation records accuracy and loss only. No confusion matrix is constructed anywhere in it, and the published paper reports no F1, recall or precision.</w:t>
      </w:r>
    </w:p>
    <w:p>
      <w:pPr/>
      <w:r>
        <w:t xml:space="preserve">A metrics module was added computing macro-averaged F1, precision, recall and false positive rate from a pooled confusion matrix. Two decisions in it matter.</w:t>
      </w:r>
    </w:p>
    <w:p>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r>
        <w:t xml:space="preserve">The matrices are summed across clients before the F1 is taken. Averaging per-client F1 scores instead produces a different and more flattering number, for the same reason.</w:t>
      </w:r>
    </w:p>
    <w:p>
      <w:pPr/>
      <w:r>
        <w:t xml:space="preserve">Confusion accumulation is vectorised through </w:t>
      </w:r>
      <w:r>
        <w:rPr>
          <w:rFonts w:ascii="Consolas" w:hAnsi="Consolas"/>
          <w:sz w:val="18"/>
        </w:rPr>
        <w:t xml:space="preserve">bincount</w:t>
      </w:r>
      <w:r>
        <w:t xml:space="preserve">. The obvious Python loop over prediction pairs dominates the round loop at these test set sizes.</w:t>
      </w:r>
    </w:p>
    <w:p>
      <w:pPr>
        <w:pStyle w:val="Heading3"/>
      </w:pPr>
      <w:r>
        <w:t xml:space="preserve">Modifications to the base implementation</w:t>
      </w:r>
    </w:p>
    <w:p>
      <w:pPr/>
      <w:r>
        <w:t xml:space="preserve">Four changes were made, each defaulting to the shipped behaviour.</w:t>
      </w:r>
    </w:p>
    <w:p>
      <w:pPr>
        <w:spacing w:before="180" w:after="60"/>
      </w:pPr>
      <w:r>
        <w:rPr>
          <w:b/>
          <w:i/>
        </w:rPr>
        <w:t xml:space="preserve">Argument binding</w:t>
      </w:r>
    </w:p>
    <w:p>
      <w:pPr/>
      <w:r>
        <w:rPr>
          <w:rFonts w:ascii="Consolas" w:hAnsi="Consolas"/>
          <w:sz w:val="18"/>
        </w:rPr>
        <w:t xml:space="preserve">UserPerMFL</w:t>
      </w:r>
      <w:r>
        <w:t xml:space="preserve"> passed five positional arguments into the six parameter slots that follow </w:t>
      </w:r>
      <w:r>
        <w:rPr>
          <w:rFonts w:ascii="Consolas" w:hAnsi="Consolas"/>
          <w:sz w:val="18"/>
        </w:rPr>
        <w:t xml:space="preserve">beta</w:t>
      </w:r>
      <w:r>
        <w:t xml:space="preserve"> in the base class, shifting every subsequent binding by one. The </w:t>
      </w:r>
      <w:r>
        <w:rPr>
          <w:rFonts w:ascii="Consolas" w:hAnsi="Consolas"/>
          <w:sz w:val="18"/>
        </w:rPr>
        <w:t xml:space="preserve">--lamda</w:t>
      </w:r>
      <w:r>
        <w:t xml:space="preserve"> argument was bound to </w:t>
      </w:r>
      <w:r>
        <w:rPr>
          <w:rFonts w:ascii="Consolas" w:hAnsi="Consolas"/>
          <w:sz w:val="18"/>
        </w:rPr>
        <w:t xml:space="preserve">self.eta</w:t>
      </w:r>
      <w:r>
        <w:t xml:space="preserve"> and </w:t>
      </w:r>
      <w:r>
        <w:rPr>
          <w:rFonts w:ascii="Consolas" w:hAnsi="Consolas"/>
          <w:sz w:val="18"/>
        </w:rPr>
        <w:t xml:space="preserve">--local\_iters</w:t>
      </w:r>
      <w:r>
        <w:t xml:space="preserve"> to </w:t>
      </w:r>
      <w:r>
        <w:rPr>
          <w:rFonts w:ascii="Consolas" w:hAnsi="Consolas"/>
          <w:sz w:val="18"/>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r>
        <w:t xml:space="preserve">The correction is keyword arguments. Since </w:t>
      </w:r>
      <w:r>
        <w:rPr>
          <w:rFonts w:ascii="Consolas" w:hAnsi="Consolas"/>
          <w:sz w:val="18"/>
        </w:rPr>
        <w:t xml:space="preserve">self.eta</w:t>
      </w:r>
      <w:r>
        <w:t xml:space="preserve">, </w:t>
      </w:r>
      <w:r>
        <w:rPr>
          <w:rFonts w:ascii="Consolas" w:hAnsi="Consolas"/>
          <w:sz w:val="18"/>
        </w:rPr>
        <w:t xml:space="preserve">self.gamma</w:t>
      </w:r>
      <w:r>
        <w:t xml:space="preserve"> and </w:t>
      </w:r>
      <w:r>
        <w:rPr>
          <w:rFonts w:ascii="Consolas" w:hAnsi="Consolas"/>
          <w:sz w:val="18"/>
        </w:rPr>
        <w:t xml:space="preserve">self.local\_epochs</w:t>
      </w:r>
      <w:r>
        <w:t xml:space="preserve"> are assigned but never read in this class, the penalty weight is the only behavioural change.</w:t>
      </w:r>
    </w:p>
    <w:p>
      <w:pPr>
        <w:spacing w:before="180" w:after="60"/>
      </w:pPr>
      <w:r>
        <w:rPr>
          <w:b/>
          <w:i/>
        </w:rPr>
        <w:t xml:space="preserve">Seeding</w:t>
      </w:r>
    </w:p>
    <w:p>
      <w:pPr/>
      <w:r>
        <w:rPr>
          <w:rFonts w:ascii="Consolas" w:hAnsi="Consolas"/>
          <w:sz w:val="18"/>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spacing w:before="180" w:after="60"/>
      </w:pPr>
      <w:r>
        <w:rPr>
          <w:b/>
          <w:i/>
        </w:rPr>
        <w:t xml:space="preserve">Decoupled team weight</w:t>
      </w:r>
    </w:p>
    <w:p>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spacing w:before="180" w:after="60"/>
      </w:pPr>
      <w:r>
        <w:rPr>
          <w:b/>
          <w:i/>
        </w:rPr>
        <w:t xml:space="preserve">Team formation from client updates</w:t>
      </w:r>
    </w:p>
    <w:p>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3"/>
      </w:pPr>
      <w:r>
        <w:t xml:space="preserve">Defects in the base implementation</w:t>
      </w:r>
    </w:p>
    <w:p>
      <w:pPr/>
      <w:r>
        <w:rPr>
          <w:highlight w:val="yellow"/>
        </w:rPr>
        <w:t xml:space="preserve">Sixteen defects were catalogued. Those that affect results are listed here; the remainder appear in Appendix~</w:t>
      </w:r>
      <w:r>
        <w:rPr>
          <w:highlight w:val="red"/>
        </w:rPr>
        <w:t xml:space="preserve">[TO SUPPLY: ref]</w:t>
      </w:r>
      <w:r>
        <w:t xml:space="preserve">.</w:t>
      </w:r>
    </w:p>
    <w:p>
      <w:pPr>
        <w:pStyle w:val="ListParagraph"/>
        <w:numPr>
          <w:ilvl w:val="0"/>
          <w:numId w:val="1"/>
        </w:numPr>
      </w:pPr>
      <w:r>
        <w:rPr>
          <w:b/>
        </w:rPr>
        <w:t xml:space="preserve">Argument binding.</w:t>
      </w:r>
      <w:r>
        <w:t xml:space="preserve">  As above. Silently overrides a documented</w:t>
      </w:r>
    </w:p>
    <w:p>
      <w:pPr/>
      <w:r>
        <w:t xml:space="preserve">hyperparameter.</w:t>
      </w:r>
    </w:p>
    <w:p>
      <w:pPr>
        <w:pStyle w:val="ListParagraph"/>
        <w:numPr>
          <w:ilvl w:val="0"/>
          <w:numId w:val="1"/>
        </w:numPr>
      </w:pPr>
      <w:r>
        <w:rPr>
          <w:b/>
        </w:rPr>
        <w:t xml:space="preserve">Non-reproducible partitioning.</w:t>
      </w:r>
      <w:r>
        <w:t xml:space="preserve">  Random team assignment reseeds on the</w:t>
      </w:r>
    </w:p>
    <w:p>
      <w:pPr/>
      <w:r>
        <w:t xml:space="preserve">wall clock and prints the seed, so teams differ on every run at a fixed     torch seed. The clock seed then propagates into per-round team selection.</w:t>
      </w:r>
    </w:p>
    <w:p>
      <w:pPr>
        <w:pStyle w:val="ListParagraph"/>
        <w:numPr>
          <w:ilvl w:val="0"/>
          <w:numId w:val="1"/>
        </w:numPr>
      </w:pPr>
      <w:r>
        <w:rPr>
          <w:b/>
        </w:rPr>
        <w:t xml:space="preserve">Unseeded synthetic split.</w:t>
      </w:r>
      <w:r>
        <w:t xml:space="preserve">  The synthetic loader seeds numpy but not</w:t>
      </w:r>
    </w:p>
    <w:p>
      <w:pPr/>
      <w:r>
        <w:t xml:space="preserve">Python's random module before the per-client shuffle, so the split differs     between processes. Verified by hashing across three runs.</w:t>
      </w:r>
    </w:p>
    <w:p>
      <w:pPr>
        <w:pStyle w:val="ListParagraph"/>
        <w:numPr>
          <w:ilvl w:val="0"/>
          <w:numId w:val="1"/>
        </w:numPr>
      </w:pPr>
      <w:r>
        <w:rPr>
          <w:b/>
        </w:rPr>
        <w:t xml:space="preserve">Broken partitioning mode.</w:t>
      </w:r>
      <w:r>
        <w:t xml:space="preserve">  One of the three team assignment modes</w:t>
      </w:r>
    </w:p>
    <w:p>
      <w:pPr/>
      <w:r>
        <w:t xml:space="preserve">assigns the return value of an in-place shuffle, which is </w:t>
      </w:r>
      <w:r>
        <w:rPr>
          <w:rFonts w:ascii="Consolas" w:hAnsi="Consolas"/>
          <w:sz w:val="18"/>
        </w:rPr>
        <w:t xml:space="preserve">None</w:t>
      </w:r>
      <w:r>
        <w:t xml:space="preserve">,     then indexes it. That mode has never executed.</w:t>
      </w:r>
    </w:p>
    <w:p>
      <w:pPr>
        <w:pStyle w:val="ListParagraph"/>
        <w:numPr>
          <w:ilvl w:val="0"/>
          <w:numId w:val="1"/>
        </w:numPr>
      </w:pPr>
      <w:r>
        <w:rPr>
          <w:b/>
        </w:rPr>
        <w:t xml:space="preserve">Dataset mislabelling.</w:t>
      </w:r>
      <w:r>
        <w:t xml:space="preserve">  The EMNIST path loads the sixty-two class</w:t>
      </w:r>
    </w:p>
    <w:p>
      <w:pPr/>
      <w:r>
        <w:t xml:space="preserve">by-class split, which the paper distinguishes as a separate dataset. The     paper states the digits split was used.</w:t>
      </w:r>
    </w:p>
    <w:p>
      <w:pPr>
        <w:pStyle w:val="ListParagraph"/>
        <w:numPr>
          <w:ilvl w:val="0"/>
          <w:numId w:val="1"/>
        </w:numPr>
      </w:pPr>
      <w:r>
        <w:rPr>
          <w:b/>
        </w:rPr>
        <w:t xml:space="preserve">Unreachable branch.</w:t>
      </w:r>
      <w:r>
        <w:t xml:space="preserve">  A reshape guard tests a dataset name that differs</w:t>
      </w:r>
    </w:p>
    <w:p>
      <w:pPr/>
      <w:r>
        <w:t xml:space="preserve">in case from the value the parser accepts, so that dataset skips the     reshape and its convolutional path cannot run.</w:t>
      </w:r>
    </w:p>
    <w:p>
      <w:pPr>
        <w:pStyle w:val="ListParagraph"/>
        <w:numPr>
          <w:ilvl w:val="0"/>
          <w:numId w:val="1"/>
        </w:numPr>
      </w:pPr>
      <w:r>
        <w:rPr>
          <w:b/>
        </w:rPr>
        <w:t xml:space="preserve">Silent no-op.</w:t>
      </w:r>
      <w:r>
        <w:t xml:space="preserve">  The experiment counter is both the loop start and</w:t>
      </w:r>
    </w:p>
    <w:p>
      <w:pPr/>
      <w:r>
        <w:t xml:space="preserve">compared against the repeat count, so a start index at or above the repeat     count performs no work and exits zero.</w:t>
      </w:r>
    </w:p>
    <w:p>
      <w:pPr>
        <w:pStyle w:val="ListParagraph"/>
        <w:numPr>
          <w:ilvl w:val="0"/>
          <w:numId w:val="1"/>
        </w:numPr>
      </w:pPr>
      <w:r>
        <w:rPr>
          <w:b/>
        </w:rPr>
        <w:t xml:space="preserve">Result overwriting.</w:t>
      </w:r>
      <w:r>
        <w:t xml:space="preserve">  Output filenames encode the hyperparameters but</w:t>
      </w:r>
    </w:p>
    <w:p>
      <w:pPr/>
      <w:r>
        <w:t xml:space="preserve">not the round count, client count or local iteration count, so runs     differing only in those overwrite each other.</w:t>
      </w:r>
    </w:p>
    <w:p>
      <w:pPr>
        <w:pStyle w:val="ListParagraph"/>
        <w:numPr>
          <w:ilvl w:val="0"/>
          <w:numId w:val="1"/>
        </w:numPr>
      </w:pPr>
      <w:r>
        <w:rPr>
          <w:b/>
        </w:rPr>
        <w:t xml:space="preserve">Unreachable algorithm.</w:t>
      </w:r>
      <w:r>
        <w:t xml:space="preserve">  The parser accepts an algorithm name that the</w:t>
      </w:r>
    </w:p>
    <w:p>
      <w:pPr/>
      <w:r>
        <w:t xml:space="preserve">dispatch does not match, so selecting it raises a name error. It is one of     the base paper's headline comparison methods.</w:t>
      </w:r>
    </w:p>
    <w:p>
      <w:pPr>
        <w:pStyle w:val="ListParagraph"/>
        <w:numPr>
          <w:ilvl w:val="0"/>
          <w:numId w:val="1"/>
        </w:numPr>
      </w:pPr>
      <w:r>
        <w:rPr>
          <w:b/>
        </w:rPr>
        <w:t xml:space="preserve">Broken aggregation helper.</w:t>
      </w:r>
      <w:r>
        <w:t xml:space="preserve">  The routine that averages results across</w:t>
      </w:r>
    </w:p>
    <w:p>
      <w:pPr/>
      <w:r>
        <w:t xml:space="preserve">repeats is commented out at its call site and passes two arguments to a     three-argument definition.</w:t>
      </w:r>
    </w:p>
    <w:p>
      <w:pPr>
        <w:pStyle w:val="ListParagraph"/>
        <w:numPr>
          <w:ilvl w:val="0"/>
          <w:numId w:val="1"/>
        </w:numPr>
      </w:pPr>
      <w:r>
        <w:rPr>
          <w:b/>
        </w:rPr>
        <w:t xml:space="preserve">Missing regularisation.</w:t>
      </w:r>
      <w:r>
        <w:t xml:space="preserve">  Appendix D.3 describes multinomial logistic</w:t>
      </w:r>
    </w:p>
    <w:p>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pPr>
      <w:r>
        <w:rPr>
          <w:b/>
        </w:rPr>
        <w:t xml:space="preserve">Model depth.</w:t>
      </w:r>
      <w:r>
        <w:t xml:space="preserve">  Sections 4 and D.3 describe networks with two hidden</w:t>
      </w:r>
    </w:p>
    <w:p>
      <w:pPr/>
      <w:r>
        <w:t xml:space="preserve">layers. The implementation has one. Both were measured; the paper's     description performs worse on this data by 0.011 to 0.021 macro F1.</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Evaluation</w:t>
      </w:r>
    </w:p>
    <w:p>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r>
        <w:t xml:space="preserve">Every result reports the floor a majority-class classifier achieves. Where the evaluation protocol imposes one, the structural ceiling is reported too.</w:t>
      </w:r>
    </w:p>
    <w:p>
      <w:pPr>
        <w:pStyle w:val="Heading3"/>
      </w:pPr>
      <w:r>
        <w:t xml:space="preserve">Does the team tier contribute?</w:t>
      </w:r>
    </w:p>
    <w:p>
      <w:pPr/>
      <w:r>
        <w:t xml:space="preserve">PerMFL's premise is that it applies when known team structures exist across devices. The direct test is to vary the team structure and measure the effect.</w:t>
      </w:r>
    </w:p>
    <w:p>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r>
        <w:t xml:space="preserve">Assignment makes no difference either. Teams matching the true day-domains do not beat random assignment on any dataset, and derived teams do not beat either. The largest difference across five such comparisons is 0.0016.</w:t>
      </w:r>
    </w:p>
    <w:p>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3"/>
      </w:pPr>
      <w:r>
        <w:t xml:space="preserve">Why: one parameter, two jobs</w:t>
      </w:r>
    </w:p>
    <w:p>
      <w:pPr/>
      <w:r>
        <w:t xml:space="preserve">The explanation is in the update rule rather than in the results.</w:t>
      </w:r>
    </w:p>
    <w:p>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r>
        <w:t xml:space="preserve">The convergence condition bounds this. Since $\gamma &gt; 2\lambda$ implies $\lambda/\gamma &lt; 0.5$, a team model can never take more than half its update from its own members within the region the theory permits.</w:t>
      </w:r>
    </w:p>
    <w:p>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r>
        <w:t xml:space="preserve">The two roles want opposite values. Personalisation wants $\lambda$ small; a functional global model wants it comparable to $\gamma$. The shipped parameterisation forces a choice.</w:t>
      </w:r>
    </w:p>
    <w:p>
      <w:pPr>
        <w:pStyle w:val="Heading3"/>
      </w:pPr>
      <w:r>
        <w:t xml:space="preserve">Decoupling the two roles</w:t>
      </w:r>
    </w:p>
    <w:p>
      <w:pPr/>
      <w:r>
        <w:t xml:space="preserve">Separating them is a one-parameter change. The device penalty keeps $\lambda$; the team update takes an independent weight.</w:t>
      </w:r>
    </w:p>
    <w:p>
      <w:pPr>
        <w:spacing w:before="180" w:after="60"/>
      </w:pPr>
      <w:r>
        <w:rPr>
          <w:b/>
          <w:i/>
        </w:rPr>
        <w:t xml:space="preserve">Headline comparison</w:t>
      </w:r>
    </w:p>
    <w:p>
      <w:pPr/>
      <w:r>
        <w:t xml:space="preserve">On CICIDS2017 with attack-domain partitioning, benign traffic thinned to twenty-five per cent of the training split, and evaluation on unseen classes, across five paired seeds:</w:t>
      </w:r>
    </w:p>
    <w:tbl>
      <w:tblPr>
        <w:tblStyle w:val="TableGrid"/>
        <w:tblW w:w="9020" w:type="dxa"/>
      </w:tblPr>
      <w:tblGrid>
        <w:gridCol w:w="1804"/>
        <w:gridCol w:w="1804"/>
        <w:gridCol w:w="1804"/>
        <w:gridCol w:w="1804"/>
        <w:gridCol w:w="1804"/>
      </w:tblGrid>
      <w:tr>
        <w:tc>
          <w:tcPr>
            <w:tcW w:w="1804" w:type="dxa"/>
            <w:shd w:val="clear" w:color="auto" w:fill="EDEDED"/>
          </w:tcPr>
          <w:p>
            <w:pPr>
              <w:spacing w:before="20" w:after="20"/>
            </w:pPr>
            <w:r>
              <w:rPr>
                <w:b/>
                <w:sz w:val="17"/>
              </w:rPr>
              <w:t xml:space="preserve">metric</w:t>
            </w:r>
          </w:p>
        </w:tc>
        <w:tc>
          <w:tcPr>
            <w:tcW w:w="1804" w:type="dxa"/>
            <w:shd w:val="clear" w:color="auto" w:fill="EDEDED"/>
          </w:tcPr>
          <w:p>
            <w:pPr>
              <w:spacing w:before="20" w:after="20"/>
            </w:pPr>
            <w:r>
              <w:rPr>
                <w:b/>
                <w:sz w:val="17"/>
              </w:rPr>
              <w:t xml:space="preserve">shipped</w:t>
            </w:r>
          </w:p>
        </w:tc>
        <w:tc>
          <w:tcPr>
            <w:tcW w:w="1804" w:type="dxa"/>
            <w:shd w:val="clear" w:color="auto" w:fill="EDEDED"/>
          </w:tcPr>
          <w:p>
            <w:pPr>
              <w:spacing w:before="20" w:after="20"/>
            </w:pPr>
            <w:r>
              <w:rPr>
                <w:b/>
                <w:sz w:val="17"/>
              </w:rPr>
              <w:t xml:space="preserve">decoupled</w:t>
            </w:r>
          </w:p>
        </w:tc>
        <w:tc>
          <w:tcPr>
            <w:tcW w:w="1804" w:type="dxa"/>
            <w:shd w:val="clear" w:color="auto" w:fill="EDEDED"/>
          </w:tcPr>
          <w:p>
            <w:pPr>
              <w:spacing w:before="20" w:after="20"/>
            </w:pPr>
            <w:r>
              <w:rPr>
                <w:b/>
                <w:sz w:val="17"/>
              </w:rPr>
              <w:t xml:space="preserve">difference</w:t>
            </w:r>
          </w:p>
        </w:tc>
        <w:tc>
          <w:tcPr>
            <w:tcW w:w="1804" w:type="dxa"/>
            <w:shd w:val="clear" w:color="auto" w:fill="EDEDED"/>
          </w:tcPr>
          <w:p>
            <w:pPr>
              <w:spacing w:before="20" w:after="20"/>
            </w:pPr>
            <w:r>
              <w:rPr>
                <w:b/>
                <w:sz w:val="17"/>
              </w:rPr>
              <w:t xml:space="preserve">paired t</w:t>
            </w:r>
          </w:p>
        </w:tc>
      </w:tr>
      <w:tr>
        <w:tc>
          <w:tcPr>
            <w:tcW w:w="1804" w:type="dxa"/>
          </w:tcPr>
          <w:p>
            <w:pPr>
              <w:spacing w:before="20" w:after="20"/>
            </w:pPr>
            <w:r>
              <w:rPr>
                <w:sz w:val="17"/>
              </w:rPr>
              <w:t xml:space="preserve">Personal macro F1</w:t>
            </w:r>
          </w:p>
        </w:tc>
        <w:tc>
          <w:tcPr>
            <w:tcW w:w="1804" w:type="dxa"/>
          </w:tcPr>
          <w:p>
            <w:pPr>
              <w:spacing w:before="20" w:after="20"/>
            </w:pPr>
            <w:r>
              <w:rPr>
                <w:sz w:val="17"/>
              </w:rPr>
              <w:t xml:space="preserve">0.2809 pm 0.0017</w:t>
            </w:r>
          </w:p>
        </w:tc>
        <w:tc>
          <w:tcPr>
            <w:tcW w:w="1804" w:type="dxa"/>
          </w:tcPr>
          <w:p>
            <w:pPr>
              <w:spacing w:before="20" w:after="20"/>
            </w:pPr>
            <w:r>
              <w:rPr>
                <w:sz w:val="17"/>
              </w:rPr>
              <w:t xml:space="preserve">0.3154 pm 0.0044</w:t>
            </w:r>
          </w:p>
        </w:tc>
        <w:tc>
          <w:tcPr>
            <w:tcW w:w="1804" w:type="dxa"/>
          </w:tcPr>
          <w:p>
            <w:pPr>
              <w:spacing w:before="20" w:after="20"/>
            </w:pPr>
            <w:r>
              <w:rPr>
                <w:sz w:val="17"/>
              </w:rPr>
              <w:t xml:space="preserve">+0.0345</w:t>
            </w:r>
          </w:p>
        </w:tc>
        <w:tc>
          <w:tcPr>
            <w:tcW w:w="1804" w:type="dxa"/>
          </w:tcPr>
          <w:p>
            <w:pPr>
              <w:spacing w:before="20" w:after="20"/>
            </w:pPr>
            <w:r>
              <w:rPr>
                <w:sz w:val="17"/>
              </w:rPr>
              <w:t xml:space="preserve">21.28</w:t>
            </w:r>
          </w:p>
        </w:tc>
      </w:tr>
      <w:tr>
        <w:tc>
          <w:tcPr>
            <w:tcW w:w="1804" w:type="dxa"/>
          </w:tcPr>
          <w:p>
            <w:pPr>
              <w:spacing w:before="20" w:after="20"/>
            </w:pPr>
            <w:r>
              <w:rPr>
                <w:sz w:val="17"/>
              </w:rPr>
              <w:t xml:space="preserve">Personal accuracy</w:t>
            </w:r>
          </w:p>
        </w:tc>
        <w:tc>
          <w:tcPr>
            <w:tcW w:w="1804" w:type="dxa"/>
          </w:tcPr>
          <w:p>
            <w:pPr>
              <w:spacing w:before="20" w:after="20"/>
            </w:pPr>
            <w:r>
              <w:rPr>
                <w:sz w:val="17"/>
              </w:rPr>
              <w:t xml:space="preserve">0.7842 pm 0.0062</w:t>
            </w:r>
          </w:p>
        </w:tc>
        <w:tc>
          <w:tcPr>
            <w:tcW w:w="1804" w:type="dxa"/>
          </w:tcPr>
          <w:p>
            <w:pPr>
              <w:spacing w:before="20" w:after="20"/>
            </w:pPr>
            <w:r>
              <w:rPr>
                <w:sz w:val="17"/>
              </w:rPr>
              <w:t xml:space="preserve">0.8161 pm 0.0042</w:t>
            </w:r>
          </w:p>
        </w:tc>
        <w:tc>
          <w:tcPr>
            <w:tcW w:w="1804" w:type="dxa"/>
          </w:tcPr>
          <w:p>
            <w:pPr>
              <w:spacing w:before="20" w:after="20"/>
            </w:pPr>
            <w:r>
              <w:rPr>
                <w:sz w:val="17"/>
              </w:rPr>
              <w:t xml:space="preserve">+0.0320</w:t>
            </w:r>
          </w:p>
        </w:tc>
        <w:tc>
          <w:tcPr>
            <w:tcW w:w="1804" w:type="dxa"/>
          </w:tcPr>
          <w:p>
            <w:pPr>
              <w:spacing w:before="20" w:after="20"/>
            </w:pPr>
            <w:r>
              <w:rPr>
                <w:sz w:val="17"/>
              </w:rPr>
              <w:t xml:space="preserve">10.61</w:t>
            </w:r>
          </w:p>
        </w:tc>
      </w:tr>
      <w:tr>
        <w:tc>
          <w:tcPr>
            <w:tcW w:w="1804" w:type="dxa"/>
          </w:tcPr>
          <w:p>
            <w:pPr>
              <w:spacing w:before="20" w:after="20"/>
            </w:pPr>
            <w:r>
              <w:rPr>
                <w:sz w:val="17"/>
              </w:rPr>
              <w:t xml:space="preserve">Global macro F1</w:t>
            </w:r>
          </w:p>
        </w:tc>
        <w:tc>
          <w:tcPr>
            <w:tcW w:w="1804" w:type="dxa"/>
          </w:tcPr>
          <w:p>
            <w:pPr>
              <w:spacing w:before="20" w:after="20"/>
            </w:pPr>
            <w:r>
              <w:rPr>
                <w:sz w:val="17"/>
              </w:rPr>
              <w:t xml:space="preserve">0.1139 pm 0.0345</w:t>
            </w:r>
          </w:p>
        </w:tc>
        <w:tc>
          <w:tcPr>
            <w:tcW w:w="1804" w:type="dxa"/>
          </w:tcPr>
          <w:p>
            <w:pPr>
              <w:spacing w:before="20" w:after="20"/>
            </w:pPr>
            <w:r>
              <w:rPr>
                <w:sz w:val="17"/>
              </w:rPr>
              <w:t xml:space="preserve">0.2155 pm 0.0187</w:t>
            </w:r>
          </w:p>
        </w:tc>
        <w:tc>
          <w:tcPr>
            <w:tcW w:w="1804" w:type="dxa"/>
          </w:tcPr>
          <w:p>
            <w:pPr>
              <w:spacing w:before="20" w:after="20"/>
            </w:pPr>
            <w:r>
              <w:rPr>
                <w:sz w:val="17"/>
              </w:rPr>
              <w:t xml:space="preserve">+0.1016</w:t>
            </w:r>
          </w:p>
        </w:tc>
        <w:tc>
          <w:tcPr>
            <w:tcW w:w="1804" w:type="dxa"/>
          </w:tcPr>
          <w:p>
            <w:pPr>
              <w:spacing w:before="20" w:after="20"/>
            </w:pPr>
            <w:r>
              <w:rPr>
                <w:sz w:val="17"/>
              </w:rPr>
              <w:t xml:space="preserve">4.35</w:t>
            </w:r>
          </w:p>
        </w:tc>
      </w:tr>
      <w:tr>
        <w:tc>
          <w:tcPr>
            <w:tcW w:w="1804" w:type="dxa"/>
          </w:tcPr>
          <w:p>
            <w:pPr>
              <w:spacing w:before="20" w:after="20"/>
            </w:pPr>
            <w:r>
              <w:rPr>
                <w:sz w:val="17"/>
              </w:rPr>
              <w:t xml:space="preserve">Global accuracy</w:t>
            </w:r>
          </w:p>
        </w:tc>
        <w:tc>
          <w:tcPr>
            <w:tcW w:w="1804" w:type="dxa"/>
          </w:tcPr>
          <w:p>
            <w:pPr>
              <w:spacing w:before="20" w:after="20"/>
            </w:pPr>
            <w:r>
              <w:rPr>
                <w:sz w:val="17"/>
              </w:rPr>
              <w:t xml:space="preserve">0.5412 pm 0.1885</w:t>
            </w:r>
          </w:p>
        </w:tc>
        <w:tc>
          <w:tcPr>
            <w:tcW w:w="1804" w:type="dxa"/>
          </w:tcPr>
          <w:p>
            <w:pPr>
              <w:spacing w:before="20" w:after="20"/>
            </w:pPr>
            <w:r>
              <w:rPr>
                <w:sz w:val="17"/>
              </w:rPr>
              <w:t xml:space="preserve">0.8487 pm 0.0041</w:t>
            </w:r>
          </w:p>
        </w:tc>
        <w:tc>
          <w:tcPr>
            <w:tcW w:w="1804" w:type="dxa"/>
          </w:tcPr>
          <w:p>
            <w:pPr>
              <w:spacing w:before="20" w:after="20"/>
            </w:pPr>
            <w:r>
              <w:rPr>
                <w:sz w:val="17"/>
              </w:rPr>
              <w:t xml:space="preserve">+0.3075</w:t>
            </w:r>
          </w:p>
        </w:tc>
        <w:tc>
          <w:tcPr>
            <w:tcW w:w="1804" w:type="dxa"/>
          </w:tcPr>
          <w:p>
            <w:pPr>
              <w:spacing w:before="20" w:after="20"/>
            </w:pPr>
            <w:r>
              <w:rPr>
                <w:sz w:val="17"/>
              </w:rPr>
              <w:t xml:space="preserve">3.60</w:t>
            </w:r>
          </w:p>
        </w:tc>
      </w:tr>
    </w:tbl>
    <w:p/>
    <w:p>
      <w:pPr/>
      <w:r>
        <w:t xml:space="preserve">All four exceed the critical value of 2.776 and win on every seed. The floors are 0.8171 accuracy and 0.0999 macro F1. The shipped global model sits below the accuracy floor; the decoupled one sits above it.</w:t>
      </w:r>
    </w:p>
    <w:p>
      <w:pPr>
        <w:spacing w:before="180" w:after="60"/>
      </w:pPr>
      <w:r>
        <w:rPr>
          <w:b/>
          <w:i/>
        </w:rPr>
        <w:t xml:space="preserve">Variance</w:t>
      </w:r>
    </w:p>
    <w:p>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r>
        <w:t xml:space="preserve">The shipped global model varies between roughly 0.35 and 0.73 depending on initialisation. For a security product that is arguably the more consequential finding: an unpredictable detector cannot be operated against a threshold.</w:t>
      </w:r>
    </w:p>
    <w:p>
      <w:pPr>
        <w:spacing w:before="180" w:after="60"/>
      </w:pPr>
      <w:r>
        <w:rPr>
          <w:b/>
          <w:i/>
        </w:rPr>
        <w:t xml:space="preserve">Across heterogeneity</w:t>
      </w:r>
    </w:p>
    <w:p>
      <w:pPr/>
      <w:r>
        <w:t xml:space="preserve">Sweeping client heterogeneity from near-homogeneous to strongly skewed, three seeds per point:</w:t>
      </w:r>
    </w:p>
    <w:tbl>
      <w:tblPr>
        <w:tblStyle w:val="TableGrid"/>
        <w:tblW w:w="9020" w:type="dxa"/>
      </w:tblPr>
      <w:tblGrid>
        <w:gridCol w:w="1288"/>
        <w:gridCol w:w="1288"/>
        <w:gridCol w:w="1288"/>
        <w:gridCol w:w="1288"/>
        <w:gridCol w:w="1288"/>
        <w:gridCol w:w="1288"/>
        <w:gridCol w:w="1288"/>
      </w:tblGrid>
      <w:tr>
        <w:tc>
          <w:tcPr>
            <w:tcW w:w="1288" w:type="dxa"/>
            <w:shd w:val="clear" w:color="auto" w:fill="EDEDED"/>
          </w:tcPr>
          <w:p>
            <w:pPr>
              <w:spacing w:before="20" w:after="20"/>
            </w:pPr>
            <w:r>
              <w:rPr>
                <w:b/>
                <w:sz w:val="17"/>
              </w:rPr>
              <w:t xml:space="preserve">configuration</w:t>
            </w:r>
          </w:p>
        </w:tc>
        <w:tc>
          <w:tcPr>
            <w:tcW w:w="1288" w:type="dxa"/>
            <w:shd w:val="clear" w:color="auto" w:fill="EDEDED"/>
          </w:tcPr>
          <w:p>
            <w:pPr>
              <w:spacing w:before="20" w:after="20"/>
            </w:pPr>
            <w:r>
              <w:rPr>
                <w:b/>
                <w:sz w:val="17"/>
              </w:rPr>
              <w:t xml:space="preserve">JSD</w:t>
            </w:r>
          </w:p>
        </w:tc>
        <w:tc>
          <w:tcPr>
            <w:tcW w:w="1288" w:type="dxa"/>
            <w:shd w:val="clear" w:color="auto" w:fill="EDEDED"/>
          </w:tcPr>
          <w:p>
            <w:pPr>
              <w:spacing w:before="20" w:after="20"/>
            </w:pPr>
            <w:r>
              <w:rPr>
                <w:b/>
                <w:sz w:val="17"/>
              </w:rPr>
              <w:t xml:space="preserve">ceiling</w:t>
            </w:r>
          </w:p>
        </w:tc>
        <w:tc>
          <w:tcPr>
            <w:tcW w:w="1288" w:type="dxa"/>
            <w:shd w:val="clear" w:color="auto" w:fill="EDEDED"/>
          </w:tcPr>
          <w:p>
            <w:pPr>
              <w:spacing w:before="20" w:after="20"/>
            </w:pPr>
            <w:r>
              <w:rPr>
                <w:b/>
                <w:sz w:val="17"/>
              </w:rPr>
              <w:t xml:space="preserve">DeltaPM</w:t>
            </w:r>
          </w:p>
        </w:tc>
        <w:tc>
          <w:tcPr>
            <w:tcW w:w="1288" w:type="dxa"/>
            <w:shd w:val="clear" w:color="auto" w:fill="EDEDED"/>
          </w:tcPr>
          <w:p>
            <w:pPr>
              <w:spacing w:before="20" w:after="20"/>
            </w:pPr>
            <w:r>
              <w:rPr>
                <w:b/>
                <w:sz w:val="17"/>
              </w:rPr>
              <w:t xml:space="preserve">t</w:t>
            </w:r>
          </w:p>
        </w:tc>
        <w:tc>
          <w:tcPr>
            <w:tcW w:w="1288" w:type="dxa"/>
            <w:shd w:val="clear" w:color="auto" w:fill="EDEDED"/>
          </w:tcPr>
          <w:p>
            <w:pPr>
              <w:spacing w:before="20" w:after="20"/>
            </w:pPr>
            <w:r>
              <w:rPr>
                <w:b/>
                <w:sz w:val="17"/>
              </w:rPr>
              <w:t xml:space="preserve">DeltaGM</w:t>
            </w:r>
          </w:p>
        </w:tc>
        <w:tc>
          <w:tcPr>
            <w:tcW w:w="1288" w:type="dxa"/>
            <w:shd w:val="clear" w:color="auto" w:fill="EDEDED"/>
          </w:tcPr>
          <w:p>
            <w:pPr>
              <w:spacing w:before="20" w:after="20"/>
            </w:pPr>
            <w:r>
              <w:rPr>
                <w:b/>
                <w:sz w:val="17"/>
              </w:rPr>
              <w:t xml:space="preserve">t</w:t>
            </w:r>
          </w:p>
        </w:tc>
      </w:tr>
      <w:tr>
        <w:tc>
          <w:tcPr>
            <w:tcW w:w="1288" w:type="dxa"/>
          </w:tcPr>
          <w:p>
            <w:pPr>
              <w:spacing w:before="20" w:after="20"/>
            </w:pPr>
            <w:r>
              <w:rPr>
                <w:sz w:val="17"/>
              </w:rPr>
              <w:t xml:space="preserve">CICIDS k{=}1</w:t>
            </w:r>
          </w:p>
        </w:tc>
        <w:tc>
          <w:tcPr>
            <w:tcW w:w="1288" w:type="dxa"/>
          </w:tcPr>
          <w:p>
            <w:pPr>
              <w:spacing w:before="20" w:after="20"/>
            </w:pPr>
            <w:r>
              <w:rPr>
                <w:sz w:val="17"/>
              </w:rPr>
              <w:t xml:space="preserve">0.1730</w:t>
            </w:r>
          </w:p>
        </w:tc>
        <w:tc>
          <w:tcPr>
            <w:tcW w:w="1288" w:type="dxa"/>
          </w:tcPr>
          <w:p>
            <w:pPr>
              <w:spacing w:before="20" w:after="20"/>
            </w:pPr>
            <w:r>
              <w:rPr>
                <w:sz w:val="17"/>
              </w:rPr>
              <w:t xml:space="preserve">0.308</w:t>
            </w:r>
          </w:p>
        </w:tc>
        <w:tc>
          <w:tcPr>
            <w:tcW w:w="1288" w:type="dxa"/>
          </w:tcPr>
          <w:p>
            <w:pPr>
              <w:spacing w:before="20" w:after="20"/>
            </w:pPr>
            <w:r>
              <w:rPr>
                <w:sz w:val="17"/>
              </w:rPr>
              <w:t xml:space="preserve">+0.0273</w:t>
            </w:r>
          </w:p>
        </w:tc>
        <w:tc>
          <w:tcPr>
            <w:tcW w:w="1288" w:type="dxa"/>
          </w:tcPr>
          <w:p>
            <w:pPr>
              <w:spacing w:before="20" w:after="20"/>
            </w:pPr>
            <w:r>
              <w:rPr>
                <w:sz w:val="17"/>
              </w:rPr>
              <w:t xml:space="preserve">5.45</w:t>
            </w:r>
          </w:p>
        </w:tc>
        <w:tc>
          <w:tcPr>
            <w:tcW w:w="1288" w:type="dxa"/>
          </w:tcPr>
          <w:p>
            <w:pPr>
              <w:spacing w:before="20" w:after="20"/>
            </w:pPr>
            <w:r>
              <w:rPr>
                <w:sz w:val="17"/>
              </w:rPr>
              <w:t xml:space="preserve">+0.1209</w:t>
            </w:r>
          </w:p>
        </w:tc>
        <w:tc>
          <w:tcPr>
            <w:tcW w:w="1288" w:type="dxa"/>
          </w:tcPr>
          <w:p>
            <w:pPr>
              <w:spacing w:before="20" w:after="20"/>
            </w:pPr>
            <w:r>
              <w:rPr>
                <w:sz w:val="17"/>
              </w:rPr>
              <w:t xml:space="preserve">3.49</w:t>
            </w:r>
          </w:p>
        </w:tc>
      </w:tr>
      <w:tr>
        <w:tc>
          <w:tcPr>
            <w:tcW w:w="1288" w:type="dxa"/>
          </w:tcPr>
          <w:p>
            <w:pPr>
              <w:spacing w:before="20" w:after="20"/>
            </w:pPr>
            <w:r>
              <w:rPr>
                <w:sz w:val="17"/>
              </w:rPr>
              <w:t xml:space="preserve">CICIDS k{=}3</w:t>
            </w:r>
          </w:p>
        </w:tc>
        <w:tc>
          <w:tcPr>
            <w:tcW w:w="1288" w:type="dxa"/>
          </w:tcPr>
          <w:p>
            <w:pPr>
              <w:spacing w:before="20" w:after="20"/>
            </w:pPr>
            <w:r>
              <w:rPr>
                <w:sz w:val="17"/>
              </w:rPr>
              <w:t xml:space="preserve">0.1414</w:t>
            </w:r>
          </w:p>
        </w:tc>
        <w:tc>
          <w:tcPr>
            <w:tcW w:w="1288" w:type="dxa"/>
          </w:tcPr>
          <w:p>
            <w:pPr>
              <w:spacing w:before="20" w:after="20"/>
            </w:pPr>
            <w:r>
              <w:rPr>
                <w:sz w:val="17"/>
              </w:rPr>
              <w:t xml:space="preserve">0.596</w:t>
            </w:r>
          </w:p>
        </w:tc>
        <w:tc>
          <w:tcPr>
            <w:tcW w:w="1288" w:type="dxa"/>
          </w:tcPr>
          <w:p>
            <w:pPr>
              <w:spacing w:before="20" w:after="20"/>
            </w:pPr>
            <w:r>
              <w:rPr>
                <w:sz w:val="17"/>
              </w:rPr>
              <w:t xml:space="preserve">+0.1160</w:t>
            </w:r>
          </w:p>
        </w:tc>
        <w:tc>
          <w:tcPr>
            <w:tcW w:w="1288" w:type="dxa"/>
          </w:tcPr>
          <w:p>
            <w:pPr>
              <w:spacing w:before="20" w:after="20"/>
            </w:pPr>
            <w:r>
              <w:rPr>
                <w:sz w:val="17"/>
              </w:rPr>
              <w:t xml:space="preserve">32.49</w:t>
            </w:r>
          </w:p>
        </w:tc>
        <w:tc>
          <w:tcPr>
            <w:tcW w:w="1288" w:type="dxa"/>
          </w:tcPr>
          <w:p>
            <w:pPr>
              <w:spacing w:before="20" w:after="20"/>
            </w:pPr>
            <w:r>
              <w:rPr>
                <w:sz w:val="17"/>
              </w:rPr>
              <w:t xml:space="preserve">+0.3973</w:t>
            </w:r>
          </w:p>
        </w:tc>
        <w:tc>
          <w:tcPr>
            <w:tcW w:w="1288" w:type="dxa"/>
          </w:tcPr>
          <w:p>
            <w:pPr>
              <w:spacing w:before="20" w:after="20"/>
            </w:pPr>
            <w:r>
              <w:rPr>
                <w:sz w:val="17"/>
              </w:rPr>
              <w:t xml:space="preserve">44.74</w:t>
            </w:r>
          </w:p>
        </w:tc>
      </w:tr>
      <w:tr>
        <w:tc>
          <w:tcPr>
            <w:tcW w:w="1288" w:type="dxa"/>
          </w:tcPr>
          <w:p>
            <w:pPr>
              <w:spacing w:before="20" w:after="20"/>
            </w:pPr>
            <w:r>
              <w:rPr>
                <w:sz w:val="17"/>
              </w:rPr>
              <w:t xml:space="preserve">CICIDS k{=}5</w:t>
            </w:r>
          </w:p>
        </w:tc>
        <w:tc>
          <w:tcPr>
            <w:tcW w:w="1288" w:type="dxa"/>
          </w:tcPr>
          <w:p>
            <w:pPr>
              <w:spacing w:before="20" w:after="20"/>
            </w:pPr>
            <w:r>
              <w:rPr>
                <w:sz w:val="17"/>
              </w:rPr>
              <w:t xml:space="preserve">0.0851</w:t>
            </w:r>
          </w:p>
        </w:tc>
        <w:tc>
          <w:tcPr>
            <w:tcW w:w="1288" w:type="dxa"/>
          </w:tcPr>
          <w:p>
            <w:pPr>
              <w:spacing w:before="20" w:after="20"/>
            </w:pPr>
            <w:r>
              <w:rPr>
                <w:sz w:val="17"/>
              </w:rPr>
              <w:t xml:space="preserve">0.795</w:t>
            </w:r>
          </w:p>
        </w:tc>
        <w:tc>
          <w:tcPr>
            <w:tcW w:w="1288" w:type="dxa"/>
          </w:tcPr>
          <w:p>
            <w:pPr>
              <w:spacing w:before="20" w:after="20"/>
            </w:pPr>
            <w:r>
              <w:rPr>
                <w:sz w:val="17"/>
              </w:rPr>
              <w:t xml:space="preserve">+0.2306</w:t>
            </w:r>
          </w:p>
        </w:tc>
        <w:tc>
          <w:tcPr>
            <w:tcW w:w="1288" w:type="dxa"/>
          </w:tcPr>
          <w:p>
            <w:pPr>
              <w:spacing w:before="20" w:after="20"/>
            </w:pPr>
            <w:r>
              <w:rPr>
                <w:sz w:val="17"/>
              </w:rPr>
              <w:t xml:space="preserve">36.39</w:t>
            </w:r>
          </w:p>
        </w:tc>
        <w:tc>
          <w:tcPr>
            <w:tcW w:w="1288" w:type="dxa"/>
          </w:tcPr>
          <w:p>
            <w:pPr>
              <w:spacing w:before="20" w:after="20"/>
            </w:pPr>
            <w:r>
              <w:rPr>
                <w:sz w:val="17"/>
              </w:rPr>
              <w:t xml:space="preserve">+0.5130</w:t>
            </w:r>
          </w:p>
        </w:tc>
        <w:tc>
          <w:tcPr>
            <w:tcW w:w="1288" w:type="dxa"/>
          </w:tcPr>
          <w:p>
            <w:pPr>
              <w:spacing w:before="20" w:after="20"/>
            </w:pPr>
            <w:r>
              <w:rPr>
                <w:sz w:val="17"/>
              </w:rPr>
              <w:t xml:space="preserve">57.91</w:t>
            </w:r>
          </w:p>
        </w:tc>
      </w:tr>
      <w:tr>
        <w:tc>
          <w:tcPr>
            <w:tcW w:w="1288" w:type="dxa"/>
          </w:tcPr>
          <w:p>
            <w:pPr>
              <w:spacing w:before="20" w:after="20"/>
            </w:pPr>
            <w:r>
              <w:rPr>
                <w:sz w:val="17"/>
              </w:rPr>
              <w:t xml:space="preserve">CICIDS k{=}8</w:t>
            </w:r>
          </w:p>
        </w:tc>
        <w:tc>
          <w:tcPr>
            <w:tcW w:w="1288" w:type="dxa"/>
          </w:tcPr>
          <w:p>
            <w:pPr>
              <w:spacing w:before="20" w:after="20"/>
            </w:pPr>
            <w:r>
              <w:rPr>
                <w:sz w:val="17"/>
              </w:rPr>
              <w:t xml:space="preserve">0.0001</w:t>
            </w:r>
          </w:p>
        </w:tc>
        <w:tc>
          <w:tcPr>
            <w:tcW w:w="1288" w:type="dxa"/>
          </w:tcPr>
          <w:p>
            <w:pPr>
              <w:spacing w:before="20" w:after="20"/>
            </w:pPr>
            <w:r>
              <w:rPr>
                <w:sz w:val="17"/>
              </w:rPr>
              <w:t xml:space="preserve">1.000</w:t>
            </w:r>
          </w:p>
        </w:tc>
        <w:tc>
          <w:tcPr>
            <w:tcW w:w="1288" w:type="dxa"/>
          </w:tcPr>
          <w:p>
            <w:pPr>
              <w:spacing w:before="20" w:after="20"/>
            </w:pPr>
            <w:r>
              <w:rPr>
                <w:sz w:val="17"/>
              </w:rPr>
              <w:t xml:space="preserve">+0.3256</w:t>
            </w:r>
          </w:p>
        </w:tc>
        <w:tc>
          <w:tcPr>
            <w:tcW w:w="1288" w:type="dxa"/>
          </w:tcPr>
          <w:p>
            <w:pPr>
              <w:spacing w:before="20" w:after="20"/>
            </w:pPr>
            <w:r>
              <w:rPr>
                <w:sz w:val="17"/>
              </w:rPr>
              <w:t xml:space="preserve">82.83</w:t>
            </w:r>
          </w:p>
        </w:tc>
        <w:tc>
          <w:tcPr>
            <w:tcW w:w="1288" w:type="dxa"/>
          </w:tcPr>
          <w:p>
            <w:pPr>
              <w:spacing w:before="20" w:after="20"/>
            </w:pPr>
            <w:r>
              <w:rPr>
                <w:sz w:val="17"/>
              </w:rPr>
              <w:t xml:space="preserve">+0.7049</w:t>
            </w:r>
          </w:p>
        </w:tc>
        <w:tc>
          <w:tcPr>
            <w:tcW w:w="1288" w:type="dxa"/>
          </w:tcPr>
          <w:p>
            <w:pPr>
              <w:spacing w:before="20" w:after="20"/>
            </w:pPr>
            <w:r>
              <w:rPr>
                <w:sz w:val="17"/>
              </w:rPr>
              <w:t xml:space="preserve">213.4</w:t>
            </w:r>
          </w:p>
        </w:tc>
      </w:tr>
      <w:tr>
        <w:tc>
          <w:tcPr>
            <w:tcW w:w="1288" w:type="dxa"/>
          </w:tcPr>
          <w:p>
            <w:pPr>
              <w:spacing w:before="20" w:after="20"/>
            </w:pPr>
            <w:r>
              <w:rPr>
                <w:sz w:val="17"/>
              </w:rPr>
              <w:t xml:space="preserve">TON-IoT alpha{=}0.1</w:t>
            </w:r>
          </w:p>
        </w:tc>
        <w:tc>
          <w:tcPr>
            <w:tcW w:w="1288" w:type="dxa"/>
          </w:tcPr>
          <w:p>
            <w:pPr>
              <w:spacing w:before="20" w:after="20"/>
            </w:pPr>
            <w:r>
              <w:rPr>
                <w:sz w:val="17"/>
              </w:rPr>
              <w:t xml:space="preserve">0.7591</w:t>
            </w:r>
          </w:p>
        </w:tc>
        <w:tc>
          <w:tcPr>
            <w:tcW w:w="1288" w:type="dxa"/>
          </w:tcPr>
          <w:p>
            <w:pPr>
              <w:spacing w:before="20" w:after="20"/>
            </w:pPr>
            <w:r>
              <w:rPr>
                <w:sz w:val="17"/>
              </w:rPr>
              <w:t xml:space="preserve">0.781</w:t>
            </w:r>
          </w:p>
        </w:tc>
        <w:tc>
          <w:tcPr>
            <w:tcW w:w="1288" w:type="dxa"/>
          </w:tcPr>
          <w:p>
            <w:pPr>
              <w:spacing w:before="20" w:after="20"/>
            </w:pPr>
            <w:r>
              <w:rPr>
                <w:sz w:val="17"/>
              </w:rPr>
              <w:t xml:space="preserve">+0.0391</w:t>
            </w:r>
          </w:p>
        </w:tc>
        <w:tc>
          <w:tcPr>
            <w:tcW w:w="1288" w:type="dxa"/>
          </w:tcPr>
          <w:p>
            <w:pPr>
              <w:spacing w:before="20" w:after="20"/>
            </w:pPr>
            <w:r>
              <w:rPr>
                <w:sz w:val="17"/>
              </w:rPr>
              <w:t xml:space="preserve">5.84</w:t>
            </w:r>
          </w:p>
        </w:tc>
        <w:tc>
          <w:tcPr>
            <w:tcW w:w="1288" w:type="dxa"/>
          </w:tcPr>
          <w:p>
            <w:pPr>
              <w:spacing w:before="20" w:after="20"/>
            </w:pPr>
            <w:r>
              <w:rPr>
                <w:sz w:val="17"/>
              </w:rPr>
              <w:t xml:space="preserve">+0.1572</w:t>
            </w:r>
          </w:p>
        </w:tc>
        <w:tc>
          <w:tcPr>
            <w:tcW w:w="1288" w:type="dxa"/>
          </w:tcPr>
          <w:p>
            <w:pPr>
              <w:spacing w:before="20" w:after="20"/>
            </w:pPr>
            <w:r>
              <w:rPr>
                <w:sz w:val="17"/>
              </w:rPr>
              <w:t xml:space="preserve">7.78</w:t>
            </w:r>
          </w:p>
        </w:tc>
      </w:tr>
      <w:tr>
        <w:tc>
          <w:tcPr>
            <w:tcW w:w="1288" w:type="dxa"/>
          </w:tcPr>
          <w:p>
            <w:pPr>
              <w:spacing w:before="20" w:after="20"/>
            </w:pPr>
            <w:r>
              <w:rPr>
                <w:sz w:val="17"/>
              </w:rPr>
              <w:t xml:space="preserve">TON-IoT alpha{=}0.5</w:t>
            </w:r>
          </w:p>
        </w:tc>
        <w:tc>
          <w:tcPr>
            <w:tcW w:w="1288" w:type="dxa"/>
          </w:tcPr>
          <w:p>
            <w:pPr>
              <w:spacing w:before="20" w:after="20"/>
            </w:pPr>
            <w:r>
              <w:rPr>
                <w:sz w:val="17"/>
              </w:rPr>
              <w:t xml:space="preserve">0.3909</w:t>
            </w:r>
          </w:p>
        </w:tc>
        <w:tc>
          <w:tcPr>
            <w:tcW w:w="1288" w:type="dxa"/>
          </w:tcPr>
          <w:p>
            <w:pPr>
              <w:spacing w:before="20" w:after="20"/>
            </w:pPr>
            <w:r>
              <w:rPr>
                <w:sz w:val="17"/>
              </w:rPr>
              <w:t xml:space="preserve">0.985</w:t>
            </w:r>
          </w:p>
        </w:tc>
        <w:tc>
          <w:tcPr>
            <w:tcW w:w="1288" w:type="dxa"/>
          </w:tcPr>
          <w:p>
            <w:pPr>
              <w:spacing w:before="20" w:after="20"/>
            </w:pPr>
            <w:r>
              <w:rPr>
                <w:sz w:val="17"/>
              </w:rPr>
              <w:t xml:space="preserve">+0.1093</w:t>
            </w:r>
          </w:p>
        </w:tc>
        <w:tc>
          <w:tcPr>
            <w:tcW w:w="1288" w:type="dxa"/>
          </w:tcPr>
          <w:p>
            <w:pPr>
              <w:spacing w:before="20" w:after="20"/>
            </w:pPr>
            <w:r>
              <w:rPr>
                <w:sz w:val="17"/>
              </w:rPr>
              <w:t xml:space="preserve">17.44</w:t>
            </w:r>
          </w:p>
        </w:tc>
        <w:tc>
          <w:tcPr>
            <w:tcW w:w="1288" w:type="dxa"/>
          </w:tcPr>
          <w:p>
            <w:pPr>
              <w:spacing w:before="20" w:after="20"/>
            </w:pPr>
            <w:r>
              <w:rPr>
                <w:sz w:val="17"/>
              </w:rPr>
              <w:t xml:space="preserve">+0.2881</w:t>
            </w:r>
          </w:p>
        </w:tc>
        <w:tc>
          <w:tcPr>
            <w:tcW w:w="1288" w:type="dxa"/>
          </w:tcPr>
          <w:p>
            <w:pPr>
              <w:spacing w:before="20" w:after="20"/>
            </w:pPr>
            <w:r>
              <w:rPr>
                <w:sz w:val="17"/>
              </w:rPr>
              <w:t xml:space="preserve">8.86</w:t>
            </w:r>
          </w:p>
        </w:tc>
      </w:tr>
      <w:tr>
        <w:tc>
          <w:tcPr>
            <w:tcW w:w="1288" w:type="dxa"/>
          </w:tcPr>
          <w:p>
            <w:pPr>
              <w:spacing w:before="20" w:after="20"/>
            </w:pPr>
            <w:r>
              <w:rPr>
                <w:sz w:val="17"/>
              </w:rPr>
              <w:t xml:space="preserve">TON-IoT alpha{=}5.0</w:t>
            </w:r>
          </w:p>
        </w:tc>
        <w:tc>
          <w:tcPr>
            <w:tcW w:w="1288" w:type="dxa"/>
          </w:tcPr>
          <w:p>
            <w:pPr>
              <w:spacing w:before="20" w:after="20"/>
            </w:pPr>
            <w:r>
              <w:rPr>
                <w:sz w:val="17"/>
              </w:rPr>
              <w:t xml:space="preserve">0.0646</w:t>
            </w:r>
          </w:p>
        </w:tc>
        <w:tc>
          <w:tcPr>
            <w:tcW w:w="1288" w:type="dxa"/>
          </w:tcPr>
          <w:p>
            <w:pPr>
              <w:spacing w:before="20" w:after="20"/>
            </w:pPr>
            <w:r>
              <w:rPr>
                <w:sz w:val="17"/>
              </w:rPr>
              <w:t xml:space="preserve">1.000</w:t>
            </w:r>
          </w:p>
        </w:tc>
        <w:tc>
          <w:tcPr>
            <w:tcW w:w="1288" w:type="dxa"/>
          </w:tcPr>
          <w:p>
            <w:pPr>
              <w:spacing w:before="20" w:after="20"/>
            </w:pPr>
            <w:r>
              <w:rPr>
                <w:sz w:val="17"/>
              </w:rPr>
              <w:t xml:space="preserve">+0.1614</w:t>
            </w:r>
          </w:p>
        </w:tc>
        <w:tc>
          <w:tcPr>
            <w:tcW w:w="1288" w:type="dxa"/>
          </w:tcPr>
          <w:p>
            <w:pPr>
              <w:spacing w:before="20" w:after="20"/>
            </w:pPr>
            <w:r>
              <w:rPr>
                <w:sz w:val="17"/>
              </w:rPr>
              <w:t xml:space="preserve">20.01</w:t>
            </w:r>
          </w:p>
        </w:tc>
        <w:tc>
          <w:tcPr>
            <w:tcW w:w="1288" w:type="dxa"/>
          </w:tcPr>
          <w:p>
            <w:pPr>
              <w:spacing w:before="20" w:after="20"/>
            </w:pPr>
            <w:r>
              <w:rPr>
                <w:sz w:val="17"/>
              </w:rPr>
              <w:t xml:space="preserve">+0.3764</w:t>
            </w:r>
          </w:p>
        </w:tc>
        <w:tc>
          <w:tcPr>
            <w:tcW w:w="1288" w:type="dxa"/>
          </w:tcPr>
          <w:p>
            <w:pPr>
              <w:spacing w:before="20" w:after="20"/>
            </w:pPr>
            <w:r>
              <w:rPr>
                <w:sz w:val="17"/>
              </w:rPr>
              <w:t xml:space="preserve">26.76</w:t>
            </w:r>
          </w:p>
        </w:tc>
      </w:tr>
      <w:tr>
        <w:tc>
          <w:tcPr>
            <w:tcW w:w="1288" w:type="dxa"/>
          </w:tcPr>
          <w:p>
            <w:pPr>
              <w:spacing w:before="20" w:after="20"/>
            </w:pPr>
            <w:r>
              <w:rPr>
                <w:sz w:val="17"/>
              </w:rPr>
              <w:t xml:space="preserve">NSL-KDD alpha{=}0.1</w:t>
            </w:r>
          </w:p>
        </w:tc>
        <w:tc>
          <w:tcPr>
            <w:tcW w:w="1288" w:type="dxa"/>
          </w:tcPr>
          <w:p>
            <w:pPr>
              <w:spacing w:before="20" w:after="20"/>
            </w:pPr>
            <w:r>
              <w:rPr>
                <w:sz w:val="17"/>
              </w:rPr>
              <w:t xml:space="preserve">0.5379</w:t>
            </w:r>
          </w:p>
        </w:tc>
        <w:tc>
          <w:tcPr>
            <w:tcW w:w="1288" w:type="dxa"/>
          </w:tcPr>
          <w:p>
            <w:pPr>
              <w:spacing w:before="20" w:after="20"/>
            </w:pPr>
            <w:r>
              <w:rPr>
                <w:sz w:val="17"/>
              </w:rPr>
              <w:t xml:space="preserve">1.000</w:t>
            </w:r>
          </w:p>
        </w:tc>
        <w:tc>
          <w:tcPr>
            <w:tcW w:w="1288" w:type="dxa"/>
          </w:tcPr>
          <w:p>
            <w:pPr>
              <w:spacing w:before="20" w:after="20"/>
            </w:pPr>
            <w:r>
              <w:rPr>
                <w:sz w:val="17"/>
              </w:rPr>
              <w:t xml:space="preserve">+0.1365</w:t>
            </w:r>
          </w:p>
        </w:tc>
        <w:tc>
          <w:tcPr>
            <w:tcW w:w="1288" w:type="dxa"/>
          </w:tcPr>
          <w:p>
            <w:pPr>
              <w:spacing w:before="20" w:after="20"/>
            </w:pPr>
            <w:r>
              <w:rPr>
                <w:sz w:val="17"/>
              </w:rPr>
              <w:t xml:space="preserve">12.98</w:t>
            </w:r>
          </w:p>
        </w:tc>
        <w:tc>
          <w:tcPr>
            <w:tcW w:w="1288" w:type="dxa"/>
          </w:tcPr>
          <w:p>
            <w:pPr>
              <w:spacing w:before="20" w:after="20"/>
            </w:pPr>
            <w:r>
              <w:rPr>
                <w:sz w:val="17"/>
              </w:rPr>
              <w:t xml:space="preserve">+0.1592</w:t>
            </w:r>
          </w:p>
        </w:tc>
        <w:tc>
          <w:tcPr>
            <w:tcW w:w="1288" w:type="dxa"/>
          </w:tcPr>
          <w:p>
            <w:pPr>
              <w:spacing w:before="20" w:after="20"/>
            </w:pPr>
            <w:r>
              <w:rPr>
                <w:sz w:val="17"/>
              </w:rPr>
              <w:t xml:space="preserve">5.53</w:t>
            </w:r>
          </w:p>
        </w:tc>
      </w:tr>
      <w:tr>
        <w:tc>
          <w:tcPr>
            <w:tcW w:w="1288" w:type="dxa"/>
          </w:tcPr>
          <w:p>
            <w:pPr>
              <w:spacing w:before="20" w:after="20"/>
            </w:pPr>
            <w:r>
              <w:rPr>
                <w:sz w:val="17"/>
              </w:rPr>
              <w:t xml:space="preserve">NSL-KDD alpha{=}5.0</w:t>
            </w:r>
          </w:p>
        </w:tc>
        <w:tc>
          <w:tcPr>
            <w:tcW w:w="1288" w:type="dxa"/>
          </w:tcPr>
          <w:p>
            <w:pPr>
              <w:spacing w:before="20" w:after="20"/>
            </w:pPr>
            <w:r>
              <w:rPr>
                <w:sz w:val="17"/>
              </w:rPr>
              <w:t xml:space="preserve">0.0333</w:t>
            </w:r>
          </w:p>
        </w:tc>
        <w:tc>
          <w:tcPr>
            <w:tcW w:w="1288" w:type="dxa"/>
          </w:tcPr>
          <w:p>
            <w:pPr>
              <w:spacing w:before="20" w:after="20"/>
            </w:pPr>
            <w:r>
              <w:rPr>
                <w:sz w:val="17"/>
              </w:rPr>
              <w:t xml:space="preserve">1.000</w:t>
            </w:r>
          </w:p>
        </w:tc>
        <w:tc>
          <w:tcPr>
            <w:tcW w:w="1288" w:type="dxa"/>
          </w:tcPr>
          <w:p>
            <w:pPr>
              <w:spacing w:before="20" w:after="20"/>
            </w:pPr>
            <w:r>
              <w:rPr>
                <w:sz w:val="17"/>
              </w:rPr>
              <w:t xml:space="preserve">+0.1181</w:t>
            </w:r>
          </w:p>
        </w:tc>
        <w:tc>
          <w:tcPr>
            <w:tcW w:w="1288" w:type="dxa"/>
          </w:tcPr>
          <w:p>
            <w:pPr>
              <w:spacing w:before="20" w:after="20"/>
            </w:pPr>
            <w:r>
              <w:rPr>
                <w:sz w:val="17"/>
              </w:rPr>
              <w:t xml:space="preserve">16.29</w:t>
            </w:r>
          </w:p>
        </w:tc>
        <w:tc>
          <w:tcPr>
            <w:tcW w:w="1288" w:type="dxa"/>
          </w:tcPr>
          <w:p>
            <w:pPr>
              <w:spacing w:before="20" w:after="20"/>
            </w:pPr>
            <w:r>
              <w:rPr>
                <w:sz w:val="17"/>
              </w:rPr>
              <w:t xml:space="preserve">+0.1128</w:t>
            </w:r>
          </w:p>
        </w:tc>
        <w:tc>
          <w:tcPr>
            <w:tcW w:w="1288" w:type="dxa"/>
          </w:tcPr>
          <w:p>
            <w:pPr>
              <w:spacing w:before="20" w:after="20"/>
            </w:pPr>
            <w:r>
              <w:rPr>
                <w:sz w:val="17"/>
              </w:rPr>
              <w:t xml:space="preserve">5.75</w:t>
            </w:r>
          </w:p>
        </w:tc>
      </w:tr>
    </w:tbl>
    <w:p/>
    <w:p>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r>
        <w:t xml:space="preserve">At the least skewed CICIDS setting the decoupled configuration reaches 0.8432 personalised and 0.8546 global macro F1 against a ceiling of 1.0, compared with 0.5176 and 0.1497 for the shipped configuration.</w:t>
      </w:r>
    </w:p>
    <w:p>
      <w:pPr>
        <w:spacing w:before="180" w:after="60"/>
      </w:pPr>
      <w:r>
        <w:rPr>
          <w:b/>
          <w:i/>
        </w:rPr>
        <w:t xml:space="preserve">A regression</w:t>
      </w:r>
    </w:p>
    <w:p>
      <w:pPr/>
      <w:r>
        <w:t xml:space="preserve">One configuration goes the other way. Under attack-domain partitioning on TON-IoT, at the highest heterogeneity measured anywhere in the study, the global macro F1 falls from 0.0917 to 0.0403, $t = -6.21$, losing on all five seeds. The decoupled global accuracy is 0.2369 with a standard deviation of zero, which is exactly the majority-class rate: the model collapsed to predicting normal traffic.</w:t>
      </w:r>
    </w:p>
    <w:p>
      <w:pPr/>
      <w:r>
        <w:t xml:space="preserve">This bounds the claim. Making the global model listen harder to strongly specialised teams can destroy it.</w:t>
      </w:r>
    </w:p>
    <w:p>
      <w:pPr>
        <w:pStyle w:val="Heading3"/>
      </w:pPr>
      <w:r>
        <w:t xml:space="preserve">Local training as a baseline</w:t>
      </w:r>
    </w:p>
    <w:p>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r>
        <w:t xml:space="preserve">The honest conclusion is that federated personalisation does not pay on this data, and that the value of the method lies in its global model. That makes the finding in Section~(see above) more consequential rather than less: the shipped parameterisation cripples precisely the component that justifies federating.</w:t>
      </w:r>
    </w:p>
    <w:p>
      <w:pPr>
        <w:pStyle w:val="Heading3"/>
      </w:pPr>
      <w:r>
        <w:t xml:space="preserve">Critical evaluation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2"/>
      </w:pPr>
      <w:r>
        <w:t xml:space="preserve">Conclusion and Further Work</w:t>
      </w:r>
    </w:p>
    <w:p>
      <w:pPr>
        <w:pStyle w:val="Heading3"/>
      </w:pPr>
      <w:r>
        <w:t xml:space="preserve">Summary</w:t>
      </w:r>
    </w:p>
    <w:p>
      <w:pPr/>
      <w:r>
        <w:t xml:space="preserve">The project asked whether PerMFL transfers to network intrusion detection, what has to change for it to transfer, and whether the architectural claim that motivates it holds on this kind of data.</w:t>
      </w:r>
    </w:p>
    <w:p>
      <w:pPr/>
      <w:r>
        <w:rPr>
          <w:highlight w:val="yellow"/>
        </w:rP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3"/>
      </w:pPr>
      <w:r>
        <w:t xml:space="preserve">Against the objectives</w:t>
      </w:r>
    </w:p>
    <w:p>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r>
        <w:rPr>
          <w:highlight w:val="yellow"/>
        </w:rP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3"/>
      </w:pPr>
      <w:r>
        <w:t xml:space="preserve">Limitations</w:t>
      </w:r>
    </w:p>
    <w:p>
      <w:pPr/>
      <w:r>
        <w:t xml:space="preserve">The absent baseline comparison is the principal limitation. A reader cannot tell from this work whether the corrected method is competitive with FedAvg, pFedMe or Ditto on the same data.</w:t>
      </w:r>
    </w:p>
    <w:p>
      <w:pPr/>
      <w:r>
        <w:rPr>
          <w:highlight w:val="yellow"/>
        </w:rP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r>
        <w:rPr>
          <w:highlight w:val="yellow"/>
        </w:rPr>
        <w:t xml:space="preserve">Several exploratory results rest on single runs, and are labelled as such.</w:t>
      </w:r>
    </w:p>
    <w:p>
      <w:pPr/>
      <w:r>
        <w:t xml:space="preserve">The heterogeneity measure captures divergence between label distributions only. A partition with identical label distributions but different decision boundaries would register as homogeneous.</w:t>
      </w:r>
    </w:p>
    <w:p>
      <w:pPr/>
      <w:r>
        <w:t xml:space="preserve">Two of the three datasets are laboratory captures with scripted attacks, so agreement between them is weaker evidence than agreement between independent operational sources.</w:t>
      </w:r>
    </w:p>
    <w:p>
      <w:pPr>
        <w:pStyle w:val="Heading3"/>
      </w:pPr>
      <w:r>
        <w:t xml:space="preserve">Further work</w:t>
      </w:r>
    </w:p>
    <w:p>
      <w:pPr>
        <w:spacing w:before="180" w:after="60"/>
      </w:pPr>
      <w:r>
        <w:rPr>
          <w:b/>
          <w:i/>
        </w:rPr>
        <w:t xml:space="preserve">Completing the comparison</w:t>
      </w:r>
    </w:p>
    <w:p>
      <w:pPr/>
      <w:r>
        <w:t xml:space="preserve">Instrumenting the shipped baselines with the same metrics and running them on the same partitions would place the corrected method in context. This is the most valuable remaining work and it needs no new ideas, only the same instrumentation applied to four more server classes.</w:t>
      </w:r>
    </w:p>
    <w:p>
      <w:pPr>
        <w:spacing w:before="180" w:after="60"/>
      </w:pPr>
      <w:r>
        <w:rPr>
          <w:b/>
          <w:i/>
        </w:rPr>
        <w:t xml:space="preserve">Tuning the decoupled weight</w:t>
      </w:r>
    </w:p>
    <w:p>
      <w:pPr/>
      <w:r>
        <w:t xml:space="preserve">The team weight's optimum is dataset dependent: 1.5 on CICIDS2017 against 3.0 on NSL-KDD. A principled rule relating it to the heterogeneity measure, rather than a per-dataset sweep, would make the correction usable without tuning.</w:t>
      </w:r>
    </w:p>
    <w:p>
      <w:pPr>
        <w:spacing w:before="180" w:after="60"/>
      </w:pPr>
      <w:r>
        <w:rPr>
          <w:b/>
          <w:i/>
        </w:rPr>
        <w:t xml:space="preserve">Output-space clustering</w:t>
      </w:r>
    </w:p>
    <w:p>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spacing w:before="180" w:after="60"/>
      </w:pPr>
      <w:r>
        <w:rPr>
          <w:b/>
          <w:i/>
        </w:rPr>
        <w:t xml:space="preserve">Nested structure</w:t>
      </w:r>
    </w:p>
    <w:p>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spacing w:before="180" w:after="60"/>
      </w:pPr>
      <w:r>
        <w:rPr>
          <w:b/>
          <w:i/>
        </w:rPr>
        <w:t xml:space="preserve">Quantity skew</w:t>
      </w:r>
    </w:p>
    <w:p>
      <w:pPr/>
      <w:r>
        <w:t xml:space="preserve">The per-client cap flattens client sizes into a narrow band. Real deployments are unequal, and the base paper's own synthetic generator spans two orders of magnitude. Removing the cap restores an axis of realism that this study suppressed.</w:t>
      </w:r>
    </w:p>
    <w:p>
      <w:pPr>
        <w:spacing w:before="180" w:after="60"/>
      </w:pPr>
      <w:r>
        <w:rPr>
          <w:b/>
          <w:i/>
        </w:rPr>
        <w:t xml:space="preserve">Memory behaviour of the loader interface</w:t>
      </w:r>
    </w:p>
    <w:p>
      <w:pPr/>
      <w:r>
        <w:rPr>
          <w:highlight w:val="yellow"/>
        </w:rP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3"/>
      </w:pPr>
      <w:r>
        <w:t xml:space="preserve">Closing</w:t>
      </w:r>
    </w:p>
    <w:p>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r>
        <w:t xml:space="preserve">That the same analysis then yields a correction improving both models across three datasets is a secondary result, though the more useful one to anyone intending to deploy the method.</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