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0"/>
        <w:jc w:val="center"/>
      </w:pPr>
      <w:r>
        <w:t xml:space="preserve">Sections Absent from the Current Draft</w:t>
      </w:r>
    </w:p>
    <w:p>
      <w:pPr>
        <w:spacing w:after="600"/>
        <w:jc w:val="center"/>
      </w:pPr>
      <w:r>
        <w:rPr>
          <w:i/>
          <w:iCs/>
          <w:sz w:val="24"/>
          <w:szCs w:val="24"/>
        </w:rPr>
        <w:t xml:space="preserve">Requirements and Ethics · Testing and Verification · Critical Evaluation</w:t>
      </w:r>
    </w:p>
    <w:p>
      <w:pPr>
        <w:jc w:val="center"/>
      </w:pPr>
      <w:r>
        <w:rPr>
          <w:sz w:val="24"/>
          <w:szCs w:val="24"/>
        </w:rPr>
        <w:t xml:space="preserve">Kaushik Karthigeyan Senthilathiban</w:t>
      </w:r>
    </w:p>
    <w:p>
      <w:pPr>
        <w:spacing w:after="400"/>
        <w:jc w:val="center"/>
      </w:pPr>
      <w:r>
        <w:rPr>
          <w:sz w:val="22"/>
          <w:szCs w:val="22"/>
        </w:rPr>
        <w:t xml:space="preserve">MSc Cyber Security  ·  6G7V0007  ·  September 2026</w:t>
      </w:r>
    </w:p>
    <w:p>
      <w:pPr>
        <w:spacing w:after="200"/>
        <w:jc w:val="center"/>
      </w:pPr>
      <w:r>
        <w:rPr>
          <w:i/>
          <w:iCs/>
          <w:sz w:val="20"/>
          <w:szCs w:val="20"/>
        </w:rPr>
        <w:t xml:space="preserve">Draft for supervisor review. Headings map to the eight-chapter structure; sections can be relocated into the main report as directed.</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What this document contains</w:t>
      </w:r>
    </w:p>
    <w:p>
      <w:pPr>
        <w:spacing w:after="160" w:line="300"/>
        <w:jc w:val="both"/>
      </w:pPr>
      <w:r>
        <w:t xml:space="preserve">The existing draft in </w:t>
      </w:r>
      <w:r>
        <w:rPr>
          <w:rFonts w:ascii="Consolas" w:cs="Consolas" w:eastAsia="Consolas" w:hAnsi="Consolas"/>
          <w:sz w:val="20"/>
          <w:szCs w:val="20"/>
        </w:rPr>
        <w:t xml:space="preserve">SCMoE/report/draft</w:t>
      </w:r>
      <w:r>
        <w:t xml:space="preserve"> covers Introduction, Literature Review, Design, Implementation, Evaluation and Conclusion. Three parts of the eight-chapter structure have no counterpart there and are supplied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rPr>
                <w:b/>
                <w:bCs/>
                <w:sz w:val="18"/>
                <w:szCs w:val="18"/>
              </w:rPr>
              <w:t xml:space="preserve">eight-chapter structure</w:t>
            </w:r>
          </w:p>
        </w:tc>
        <w:tc>
          <w:tcPr>
            <w:tcW w:type="dxa" w:w="3000"/>
            <w:shd w:fill="EDEDED" w:val="clear"/>
          </w:tcPr>
          <w:p>
            <w:r>
              <w:rPr>
                <w:b/>
                <w:bCs/>
                <w:sz w:val="18"/>
                <w:szCs w:val="18"/>
              </w:rPr>
              <w:t xml:space="preserve">in the existing draft?</w:t>
            </w:r>
          </w:p>
        </w:tc>
        <w:tc>
          <w:tcPr>
            <w:tcW w:type="dxa" w:w="3000"/>
            <w:shd w:fill="EDEDED" w:val="clear"/>
          </w:tcPr>
          <w:p>
            <w:r>
              <w:rPr>
                <w:b/>
                <w:bCs/>
                <w:sz w:val="18"/>
                <w:szCs w:val="18"/>
              </w:rPr>
              <w:t xml:space="preserve">supplied here</w:t>
            </w:r>
          </w:p>
        </w:tc>
      </w:tr>
      <w:tr>
        <w:tc>
          <w:tcPr>
            <w:tcW w:type="dxa" w:w="3000"/>
          </w:tcPr>
          <w:p>
            <w:r>
              <w:rPr>
                <w:b w:val="false"/>
                <w:bCs w:val="false"/>
                <w:sz w:val="18"/>
                <w:szCs w:val="18"/>
              </w:rPr>
              <w:t xml:space="preserve">1 Introduction</w:t>
            </w:r>
          </w:p>
        </w:tc>
        <w:tc>
          <w:tcPr>
            <w:tcW w:type="dxa" w:w="3000"/>
          </w:tcPr>
          <w:p>
            <w:r>
              <w:rPr>
                <w:b w:val="false"/>
                <w:bCs w:val="false"/>
                <w:sz w:val="18"/>
                <w:szCs w:val="18"/>
              </w:rPr>
              <w:t xml:space="preserve">yes, chapter 1</w:t>
            </w:r>
          </w:p>
        </w:tc>
        <w:tc>
          <w:tcPr>
            <w:tcW w:type="dxa" w:w="3000"/>
          </w:tcPr>
          <w:p>
            <w:r>
              <w:rPr>
                <w:b w:val="false"/>
                <w:bCs w:val="false"/>
                <w:sz w:val="18"/>
                <w:szCs w:val="18"/>
              </w:rPr>
              <w:t xml:space="preserve">no</w:t>
            </w:r>
          </w:p>
        </w:tc>
      </w:tr>
      <w:tr>
        <w:tc>
          <w:tcPr>
            <w:tcW w:type="dxa" w:w="3000"/>
          </w:tcPr>
          <w:p>
            <w:r>
              <w:rPr>
                <w:b w:val="false"/>
                <w:bCs w:val="false"/>
                <w:sz w:val="18"/>
                <w:szCs w:val="18"/>
              </w:rPr>
              <w:t xml:space="preserve">2 Literature Review</w:t>
            </w:r>
          </w:p>
        </w:tc>
        <w:tc>
          <w:tcPr>
            <w:tcW w:type="dxa" w:w="3000"/>
          </w:tcPr>
          <w:p>
            <w:r>
              <w:rPr>
                <w:b w:val="false"/>
                <w:bCs w:val="false"/>
                <w:sz w:val="18"/>
                <w:szCs w:val="18"/>
              </w:rPr>
              <w:t xml:space="preserve">yes, chapter 2</w:t>
            </w:r>
          </w:p>
        </w:tc>
        <w:tc>
          <w:tcPr>
            <w:tcW w:type="dxa" w:w="3000"/>
          </w:tcPr>
          <w:p>
            <w:r>
              <w:rPr>
                <w:b w:val="false"/>
                <w:bCs w:val="false"/>
                <w:sz w:val="18"/>
                <w:szCs w:val="18"/>
              </w:rPr>
              <w:t xml:space="preserve">no</w:t>
            </w:r>
          </w:p>
        </w:tc>
      </w:tr>
      <w:tr>
        <w:tc>
          <w:tcPr>
            <w:tcW w:type="dxa" w:w="3000"/>
          </w:tcPr>
          <w:p>
            <w:r>
              <w:rPr>
                <w:b w:val="false"/>
                <w:bCs w:val="false"/>
                <w:sz w:val="18"/>
                <w:szCs w:val="18"/>
              </w:rPr>
              <w:t xml:space="preserve">3 Requirements and ethics</w:t>
            </w:r>
          </w:p>
        </w:tc>
        <w:tc>
          <w:tcPr>
            <w:tcW w:type="dxa" w:w="3000"/>
          </w:tcPr>
          <w:p>
            <w:r>
              <w:rPr>
                <w:b w:val="false"/>
                <w:bCs w:val="false"/>
                <w:sz w:val="18"/>
                <w:szCs w:val="18"/>
              </w:rPr>
              <w:t xml:space="preserve">only a short Requirements section inside Design</w:t>
            </w:r>
          </w:p>
        </w:tc>
        <w:tc>
          <w:tcPr>
            <w:tcW w:type="dxa" w:w="3000"/>
          </w:tcPr>
          <w:p>
            <w:r>
              <w:rPr>
                <w:b w:val="false"/>
                <w:bCs w:val="false"/>
                <w:sz w:val="18"/>
                <w:szCs w:val="18"/>
              </w:rPr>
              <w:t xml:space="preserve">YES, in full</w:t>
            </w:r>
          </w:p>
        </w:tc>
      </w:tr>
      <w:tr>
        <w:tc>
          <w:tcPr>
            <w:tcW w:type="dxa" w:w="3000"/>
          </w:tcPr>
          <w:p>
            <w:r>
              <w:rPr>
                <w:b w:val="false"/>
                <w:bCs w:val="false"/>
                <w:sz w:val="18"/>
                <w:szCs w:val="18"/>
              </w:rPr>
              <w:t xml:space="preserve">4 Design</w:t>
            </w:r>
          </w:p>
        </w:tc>
        <w:tc>
          <w:tcPr>
            <w:tcW w:type="dxa" w:w="3000"/>
          </w:tcPr>
          <w:p>
            <w:r>
              <w:rPr>
                <w:b w:val="false"/>
                <w:bCs w:val="false"/>
                <w:sz w:val="18"/>
                <w:szCs w:val="18"/>
              </w:rPr>
              <w:t xml:space="preserve">yes, chapter 3</w:t>
            </w:r>
          </w:p>
        </w:tc>
        <w:tc>
          <w:tcPr>
            <w:tcW w:type="dxa" w:w="3000"/>
          </w:tcPr>
          <w:p>
            <w:r>
              <w:rPr>
                <w:b w:val="false"/>
                <w:bCs w:val="false"/>
                <w:sz w:val="18"/>
                <w:szCs w:val="18"/>
              </w:rPr>
              <w:t xml:space="preserve">no</w:t>
            </w:r>
          </w:p>
        </w:tc>
      </w:tr>
      <w:tr>
        <w:tc>
          <w:tcPr>
            <w:tcW w:type="dxa" w:w="3000"/>
          </w:tcPr>
          <w:p>
            <w:r>
              <w:rPr>
                <w:b w:val="false"/>
                <w:bCs w:val="false"/>
                <w:sz w:val="18"/>
                <w:szCs w:val="18"/>
              </w:rPr>
              <w:t xml:space="preserve">5 Implementation</w:t>
            </w:r>
          </w:p>
        </w:tc>
        <w:tc>
          <w:tcPr>
            <w:tcW w:type="dxa" w:w="3000"/>
          </w:tcPr>
          <w:p>
            <w:r>
              <w:rPr>
                <w:b w:val="false"/>
                <w:bCs w:val="false"/>
                <w:sz w:val="18"/>
                <w:szCs w:val="18"/>
              </w:rPr>
              <w:t xml:space="preserve">yes, chapter 4</w:t>
            </w:r>
          </w:p>
        </w:tc>
        <w:tc>
          <w:tcPr>
            <w:tcW w:type="dxa" w:w="3000"/>
          </w:tcPr>
          <w:p>
            <w:r>
              <w:rPr>
                <w:b w:val="false"/>
                <w:bCs w:val="false"/>
                <w:sz w:val="18"/>
                <w:szCs w:val="18"/>
              </w:rPr>
              <w:t xml:space="preserve">no</w:t>
            </w:r>
          </w:p>
        </w:tc>
      </w:tr>
      <w:tr>
        <w:tc>
          <w:tcPr>
            <w:tcW w:type="dxa" w:w="3000"/>
          </w:tcPr>
          <w:p>
            <w:r>
              <w:rPr>
                <w:b w:val="false"/>
                <w:bCs w:val="false"/>
                <w:sz w:val="18"/>
                <w:szCs w:val="18"/>
              </w:rPr>
              <w:t xml:space="preserve">6 Testing and verification</w:t>
            </w:r>
          </w:p>
        </w:tc>
        <w:tc>
          <w:tcPr>
            <w:tcW w:type="dxa" w:w="3000"/>
          </w:tcPr>
          <w:p>
            <w:r>
              <w:rPr>
                <w:b w:val="false"/>
                <w:bCs w:val="false"/>
                <w:sz w:val="18"/>
                <w:szCs w:val="18"/>
              </w:rPr>
              <w:t xml:space="preserve">absent entirely</w:t>
            </w:r>
          </w:p>
        </w:tc>
        <w:tc>
          <w:tcPr>
            <w:tcW w:type="dxa" w:w="3000"/>
          </w:tcPr>
          <w:p>
            <w:r>
              <w:rPr>
                <w:b w:val="false"/>
                <w:bCs w:val="false"/>
                <w:sz w:val="18"/>
                <w:szCs w:val="18"/>
              </w:rPr>
              <w:t xml:space="preserve">YES</w:t>
            </w:r>
          </w:p>
        </w:tc>
      </w:tr>
      <w:tr>
        <w:tc>
          <w:tcPr>
            <w:tcW w:type="dxa" w:w="3000"/>
          </w:tcPr>
          <w:p>
            <w:r>
              <w:rPr>
                <w:b w:val="false"/>
                <w:bCs w:val="false"/>
                <w:sz w:val="18"/>
                <w:szCs w:val="18"/>
              </w:rPr>
              <w:t xml:space="preserve">7 Critical and qualitative evaluation</w:t>
            </w:r>
          </w:p>
        </w:tc>
        <w:tc>
          <w:tcPr>
            <w:tcW w:type="dxa" w:w="3000"/>
          </w:tcPr>
          <w:p>
            <w:r>
              <w:rPr>
                <w:b w:val="false"/>
                <w:bCs w:val="false"/>
                <w:sz w:val="18"/>
                <w:szCs w:val="18"/>
              </w:rPr>
              <w:t xml:space="preserve">chapter 5 presents results but has no critical section</w:t>
            </w:r>
          </w:p>
        </w:tc>
        <w:tc>
          <w:tcPr>
            <w:tcW w:type="dxa" w:w="3000"/>
          </w:tcPr>
          <w:p>
            <w:r>
              <w:rPr>
                <w:b w:val="false"/>
                <w:bCs w:val="false"/>
                <w:sz w:val="18"/>
                <w:szCs w:val="18"/>
              </w:rPr>
              <w:t xml:space="preserve">YES, the critical part only</w:t>
            </w:r>
          </w:p>
        </w:tc>
      </w:tr>
      <w:tr>
        <w:tc>
          <w:tcPr>
            <w:tcW w:type="dxa" w:w="3000"/>
          </w:tcPr>
          <w:p>
            <w:r>
              <w:rPr>
                <w:b w:val="false"/>
                <w:bCs w:val="false"/>
                <w:sz w:val="18"/>
                <w:szCs w:val="18"/>
              </w:rPr>
              <w:t xml:space="preserve">8 Conclusion and further work</w:t>
            </w:r>
          </w:p>
        </w:tc>
        <w:tc>
          <w:tcPr>
            <w:tcW w:type="dxa" w:w="3000"/>
          </w:tcPr>
          <w:p>
            <w:r>
              <w:rPr>
                <w:b w:val="false"/>
                <w:bCs w:val="false"/>
                <w:sz w:val="18"/>
                <w:szCs w:val="18"/>
              </w:rPr>
              <w:t xml:space="preserve">yes, chapter 6, including Limitations and Further work</w:t>
            </w:r>
          </w:p>
        </w:tc>
        <w:tc>
          <w:tcPr>
            <w:tcW w:type="dxa" w:w="3000"/>
          </w:tcPr>
          <w:p>
            <w:r>
              <w:rPr>
                <w:b w:val="false"/>
                <w:bCs w:val="false"/>
                <w:sz w:val="18"/>
                <w:szCs w:val="18"/>
              </w:rPr>
              <w:t xml:space="preserve">no</w:t>
            </w:r>
          </w:p>
        </w:tc>
      </w:tr>
    </w:tbl>
    <w:p/>
    <w:p>
      <w:pPr>
        <w:spacing w:after="160" w:line="300"/>
        <w:jc w:val="both"/>
      </w:pPr>
      <w:r>
        <w:t xml:space="preserve">The existing chapter 2 already carries a "Legal, social, ethical and professional context" section. The ethics material below is longer and project-specific, so it either replaces that section or absorbs it, whichever the supervisor prefers.</w:t>
      </w:r>
    </w:p>
    <w:p>
      <w:r>
        <w:br w:type="page"/>
      </w:r>
    </w:p>
    <w:p>
      <w:pPr>
        <w:pStyle w:val="Heading1"/>
      </w:pPr>
      <w:r>
        <w:t xml:space="preserve">Requirements, Ethics and Legal Position</w:t>
      </w:r>
    </w:p>
    <w:p>
      <w:pPr>
        <w:spacing w:after="160" w:line="300"/>
        <w:jc w:val="both"/>
      </w:pPr>
      <w:r>
        <w:t xml:space="preserve">This chapter states what the software had to do, the constraints it operated under, and the ethical and legal position of the work.</w:t>
      </w:r>
    </w:p>
    <w:p>
      <w:pPr>
        <w:pStyle w:val="Heading2"/>
      </w:pPr>
      <w:r>
        <w:t xml:space="preserve">Functional requirements</w:t>
      </w:r>
    </w:p>
    <w:p>
      <w:pPr>
        <w:pStyle w:val="ListParagraph"/>
        <w:numPr>
          <w:ilvl w:val="0"/>
          <w:numId w:val="1"/>
        </w:numPr>
        <w:spacing w:after="100"/>
      </w:pPr>
      <w:r>
        <w:rPr>
          <w:b/>
          <w:bCs/>
        </w:rPr>
        <w:t xml:space="preserve">F1 Reproduce the base method.</w:t>
      </w:r>
      <w:r>
        <w:t xml:space="preserve">  Run PerMFL unmodified on the authors'</w:t>
      </w:r>
    </w:p>
    <w:p>
      <w:pPr>
        <w:spacing w:after="160" w:line="300"/>
        <w:jc w:val="both"/>
      </w:pPr>
      <w:r>
        <w:t xml:space="preserve">own dataset and compare against the published figure. Without this, no later result can be attributed to a change rather than to a broken implementation.</w:t>
      </w:r>
    </w:p>
    <w:p>
      <w:pPr>
        <w:pStyle w:val="ListParagraph"/>
        <w:numPr>
          <w:ilvl w:val="0"/>
          <w:numId w:val="1"/>
        </w:numPr>
        <w:spacing w:after="100"/>
      </w:pPr>
      <w:r>
        <w:rPr>
          <w:b/>
          <w:bCs/>
        </w:rPr>
        <w:t xml:space="preserve">F2 Load intrusion detection data.</w:t>
      </w:r>
      <w:r>
        <w:t xml:space="preserve">  Parse CICIDS2017, NSL-KDD and</w:t>
      </w:r>
    </w:p>
    <w:p>
      <w:pPr>
        <w:spacing w:after="160" w:line="300"/>
        <w:jc w:val="both"/>
      </w:pPr>
      <w:r>
        <w:t xml:space="preserve">TON-IoT into the four-tuple interface the existing loaders expose, so that every algorithm in the codebase runs on them without modification.</w:t>
      </w:r>
    </w:p>
    <w:p>
      <w:pPr>
        <w:pStyle w:val="ListParagraph"/>
        <w:numPr>
          <w:ilvl w:val="0"/>
          <w:numId w:val="1"/>
        </w:numPr>
        <w:spacing w:after="100"/>
      </w:pPr>
      <w:r>
        <w:rPr>
          <w:b/>
          <w:bCs/>
        </w:rPr>
        <w:t xml:space="preserve">F3 Partition clients under controlled heterogeneity.</w:t>
      </w:r>
      <w:r>
        <w:t xml:space="preserve">  Support</w:t>
      </w:r>
    </w:p>
    <w:p>
      <w:pPr>
        <w:spacing w:after="160" w:line="300"/>
        <w:jc w:val="both"/>
      </w:pPr>
      <w:r>
        <w:t xml:space="preserve">attack-domain, label-skew, Dirichlet and host-based partitioning, with the degree of skew settable and measurable.</w:t>
      </w:r>
    </w:p>
    <w:p>
      <w:pPr>
        <w:pStyle w:val="ListParagraph"/>
        <w:numPr>
          <w:ilvl w:val="0"/>
          <w:numId w:val="1"/>
        </w:numPr>
        <w:spacing w:after="100"/>
      </w:pPr>
      <w:r>
        <w:rPr>
          <w:b/>
          <w:bCs/>
        </w:rPr>
        <w:t xml:space="preserve">F4 Report metrics appropriate to imbalanced detection.</w:t>
      </w:r>
      <w:r>
        <w:t xml:space="preserve">  Macro-averaged</w:t>
      </w:r>
    </w:p>
    <w:p>
      <w:pPr>
        <w:spacing w:after="160" w:line="300"/>
        <w:jc w:val="both"/>
      </w:pPr>
      <w:r>
        <w:t xml:space="preserve">F1, precision, recall and false positive rate, per class and pooled, in addition to the accuracy the base implementation reports.</w:t>
      </w:r>
    </w:p>
    <w:p>
      <w:pPr>
        <w:pStyle w:val="ListParagraph"/>
        <w:numPr>
          <w:ilvl w:val="0"/>
          <w:numId w:val="1"/>
        </w:numPr>
        <w:spacing w:after="100"/>
      </w:pPr>
      <w:r>
        <w:rPr>
          <w:b/>
          <w:bCs/>
        </w:rPr>
        <w:t xml:space="preserve">F5 Support repeated runs.</w:t>
      </w:r>
      <w:r>
        <w:t xml:space="preserve">  Vary model initialisation and partitioning</w:t>
      </w:r>
    </w:p>
    <w:p>
      <w:pPr>
        <w:spacing w:after="160" w:line="300"/>
        <w:jc w:val="both"/>
      </w:pPr>
      <w:r>
        <w:t xml:space="preserve">by seed so that variation across runs can be measured.</w:t>
      </w:r>
    </w:p>
    <w:p>
      <w:pPr>
        <w:pStyle w:val="ListParagraph"/>
        <w:numPr>
          <w:ilvl w:val="0"/>
          <w:numId w:val="1"/>
        </w:numPr>
        <w:spacing w:after="100"/>
      </w:pPr>
      <w:r>
        <w:rPr>
          <w:b/>
          <w:bCs/>
        </w:rPr>
        <w:t xml:space="preserve">F6 Derive teams from client updates.</w:t>
      </w:r>
      <w:r>
        <w:t xml:space="preserve">  Form teams during training from</w:t>
      </w:r>
    </w:p>
    <w:p>
      <w:pPr>
        <w:spacing w:after="160" w:line="300"/>
        <w:jc w:val="both"/>
      </w:pPr>
      <w:r>
        <w:t xml:space="preserve">the client state rather than at load time, since a data-derived grouping cannot be computed before any client has trained.</w:t>
      </w:r>
    </w:p>
    <w:p>
      <w:pPr>
        <w:pStyle w:val="ListParagraph"/>
        <w:numPr>
          <w:ilvl w:val="0"/>
          <w:numId w:val="1"/>
        </w:numPr>
        <w:spacing w:after="100"/>
      </w:pPr>
      <w:r>
        <w:rPr>
          <w:b/>
          <w:bCs/>
        </w:rPr>
        <w:t xml:space="preserve">F7 Evaluate on unseen classes.</w:t>
      </w:r>
      <w:r>
        <w:t xml:space="preserve">  Support evaluation of clients on</w:t>
      </w:r>
    </w:p>
    <w:p>
      <w:pPr>
        <w:spacing w:after="160" w:line="300"/>
        <w:jc w:val="both"/>
      </w:pPr>
      <w:r>
        <w:t xml:space="preserve">classes absent from their training data.</w:t>
      </w:r>
    </w:p>
    <w:p>
      <w:pPr>
        <w:pStyle w:val="Heading2"/>
      </w:pPr>
      <w:r>
        <w:t xml:space="preserve">Non-functional requirements</w:t>
      </w:r>
    </w:p>
    <w:p>
      <w:pPr>
        <w:pStyle w:val="ListParagraph"/>
        <w:numPr>
          <w:ilvl w:val="0"/>
          <w:numId w:val="1"/>
        </w:numPr>
        <w:spacing w:after="100"/>
      </w:pPr>
      <w:r>
        <w:rPr>
          <w:b/>
          <w:bCs/>
        </w:rPr>
        <w:t xml:space="preserve">N1 Reproducibility.</w:t>
      </w:r>
      <w:r>
        <w:t xml:space="preserve">  A run must be reproducible from a recorded seed</w:t>
      </w:r>
    </w:p>
    <w:p>
      <w:pPr>
        <w:spacing w:after="160" w:line="300"/>
        <w:jc w:val="both"/>
      </w:pPr>
      <w:r>
        <w:t xml:space="preserve">and command. Package versions are pinned to the period of the base paper's publication.</w:t>
      </w:r>
    </w:p>
    <w:p>
      <w:pPr>
        <w:pStyle w:val="ListParagraph"/>
        <w:numPr>
          <w:ilvl w:val="0"/>
          <w:numId w:val="1"/>
        </w:numPr>
        <w:spacing w:after="100"/>
      </w:pPr>
      <w:r>
        <w:rPr>
          <w:b/>
          <w:bCs/>
        </w:rPr>
        <w:t xml:space="preserve">N2 No information leakage.</w:t>
      </w:r>
      <w:r>
        <w:t xml:space="preserve">  No statistic fitted on evaluation data may</w:t>
      </w:r>
    </w:p>
    <w:p>
      <w:pPr>
        <w:spacing w:after="160" w:line="300"/>
        <w:jc w:val="both"/>
      </w:pPr>
      <w:r>
        <w:t xml:space="preserve">influence training. Scaling parameters, clipping bounds and imputation values are fitted on the training split only.</w:t>
      </w:r>
    </w:p>
    <w:p>
      <w:pPr>
        <w:pStyle w:val="ListParagraph"/>
        <w:numPr>
          <w:ilvl w:val="0"/>
          <w:numId w:val="1"/>
        </w:numPr>
        <w:spacing w:after="100"/>
      </w:pPr>
      <w:r>
        <w:rPr>
          <w:b/>
          <w:bCs/>
        </w:rPr>
        <w:t xml:space="preserve">N3 Commodity hardware.</w:t>
      </w:r>
      <w:r>
        <w:t xml:space="preserve">  Experiments must complete on a laptop CPU. No</w:t>
      </w:r>
    </w:p>
    <w:p>
      <w:pPr>
        <w:spacing w:after="160" w:line="300"/>
        <w:jc w:val="both"/>
      </w:pPr>
      <w:r>
        <w:t xml:space="preserve">result may depend on access to a GPU cluster.</w:t>
      </w:r>
    </w:p>
    <w:p>
      <w:pPr>
        <w:pStyle w:val="ListParagraph"/>
        <w:numPr>
          <w:ilvl w:val="0"/>
          <w:numId w:val="1"/>
        </w:numPr>
        <w:spacing w:after="100"/>
      </w:pPr>
      <w:r>
        <w:rPr>
          <w:b/>
          <w:bCs/>
        </w:rPr>
        <w:t xml:space="preserve">N4 Backward compatibility.</w:t>
      </w:r>
      <w:r>
        <w:t xml:space="preserve">  Every modification defaults to the shipped</w:t>
      </w:r>
    </w:p>
    <w:p>
      <w:pPr>
        <w:spacing w:after="160" w:line="300"/>
        <w:jc w:val="both"/>
      </w:pPr>
      <w:r>
        <w:t xml:space="preserve">behaviour, so results obtained before a change remain reproducible after it.</w:t>
      </w:r>
    </w:p>
    <w:p>
      <w:pPr>
        <w:pStyle w:val="ListParagraph"/>
        <w:numPr>
          <w:ilvl w:val="0"/>
          <w:numId w:val="1"/>
        </w:numPr>
        <w:spacing w:after="100"/>
      </w:pPr>
      <w:r>
        <w:rPr>
          <w:b/>
          <w:bCs/>
        </w:rPr>
        <w:t xml:space="preserve">N5 Traceability.</w:t>
      </w:r>
      <w:r>
        <w:t xml:space="preserve">  Each defect identified in the base implementation is</w:t>
      </w:r>
    </w:p>
    <w:p>
      <w:pPr>
        <w:spacing w:after="160" w:line="300"/>
        <w:jc w:val="both"/>
      </w:pPr>
      <w:r>
        <w:t xml:space="preserve">recorded with a file and line reference and, where its effect is measurable, a measurement.</w:t>
      </w:r>
    </w:p>
    <w:p>
      <w:pPr>
        <w:pStyle w:val="Heading2"/>
      </w:pPr>
      <w:r>
        <w:t xml:space="preserve">Ethical position</w:t>
      </w:r>
    </w:p>
    <w:p>
      <w:pPr>
        <w:pStyle w:val="Heading3"/>
      </w:pPr>
      <w:r>
        <w:t xml:space="preserve">Data</w:t>
      </w:r>
    </w:p>
    <w:p>
      <w:pPr>
        <w:spacing w:after="160" w:line="300"/>
        <w:jc w:val="both"/>
      </w:pPr>
      <w:r>
        <w:t xml:space="preserve">The project uses three public datasets released for research. CICIDS2017 and NSL-KDD were produced by the Canadian Institute for Cybersecurity, TON-IoT by UNSW Canberra. All three were captured in purpose-built testbeds using synthetic user profiles and scripted attacks. No traffic from a real organisation or an identifiable individual is involved, and no attempt is made to re-identify any host.</w:t>
      </w:r>
    </w:p>
    <w:p>
      <w:pPr>
        <w:spacing w:after="160" w:line="300"/>
        <w:jc w:val="both"/>
      </w:pPr>
      <w:r>
        <w:t xml:space="preserve">The IP addresses in the captures belong to testbed machines. They appear in the raw files and are used in one partitioning scheme to define client boundaries, which reflects how a deployed system would be organised. They are removed before the feature matrix is constructed, both to prevent the model learning addresses instead of behaviour and because address-derived features do not transfer outside the testbed.</w:t>
      </w:r>
    </w:p>
    <w:p>
      <w:pPr>
        <w:pStyle w:val="Heading3"/>
      </w:pPr>
      <w:r>
        <w:t xml:space="preserve">Ethical approval</w:t>
      </w:r>
    </w:p>
    <w:p>
      <w:pPr>
        <w:spacing w:after="160" w:line="300"/>
        <w:jc w:val="both"/>
      </w:pPr>
      <w:r>
        <w:t xml:space="preserve">The project involves no human participants, no personal data as defined by UK GDPR, and no interaction with live systems. Approval was obtained under reference [TO SUPPLY: EthOS number].</w:t>
      </w:r>
    </w:p>
    <w:p>
      <w:pPr>
        <w:pStyle w:val="Heading3"/>
      </w:pPr>
      <w:r>
        <w:t xml:space="preserve">Dual use</w:t>
      </w:r>
    </w:p>
    <w:p>
      <w:pPr>
        <w:spacing w:after="160" w:line="300"/>
        <w:jc w:val="both"/>
      </w:pPr>
      <w:r>
        <w:t xml:space="preserve">Intrusion detection research is defensive, but any work that characterises where a detector fails also indicates where it could be evaded. The findings here concern the internal parameterisation of a federated learning method rather than exploitable weaknesses in a deployed system, and the datasets are public and well studied. The risk is low. No detection evasion technique is developed or evaluated.</w:t>
      </w:r>
    </w:p>
    <w:p>
      <w:pPr>
        <w:pStyle w:val="Heading3"/>
      </w:pPr>
      <w:r>
        <w:t xml:space="preserve">Reporting</w:t>
      </w:r>
    </w:p>
    <w:p>
      <w:pPr>
        <w:spacing w:after="160" w:line="300"/>
        <w:jc w:val="both"/>
      </w:pPr>
      <w:r>
        <w:t xml:space="preserve">Results are reported whether or not they support the hypothesis. The evaluation in Chapter~(see above) includes a configuration in which the proposed correction makes matters worse, and a claim from an earlier stage of the work that later measurement contradicted. Both are retained.</w:t>
      </w:r>
    </w:p>
    <w:p>
      <w:pPr>
        <w:pStyle w:val="Heading2"/>
      </w:pPr>
      <w:r>
        <w:t xml:space="preserve">Legal position</w:t>
      </w:r>
    </w:p>
    <w:p>
      <w:pPr>
        <w:spacing w:after="160" w:line="300"/>
        <w:jc w:val="both"/>
      </w:pPr>
      <w:r>
        <w:t xml:space="preserve">The base implementation is released by its authors under the MIT licence. This work is a derivative and carries the same licence with attribution preserved. Dataset licences permit academic use with citation, and all three are cited. No dataset is redistributed; the repository contains loaders and a download procedure.</w:t>
      </w:r>
    </w:p>
    <w:p>
      <w:pPr>
        <w:pStyle w:val="Heading2"/>
      </w:pPr>
      <w:r>
        <w:t xml:space="preserve">Scope</w:t>
      </w:r>
    </w:p>
    <w:p>
      <w:pPr>
        <w:spacing w:after="160" w:line="300"/>
        <w:jc w:val="both"/>
      </w:pPr>
      <w:r>
        <w:t xml:space="preserve">Three exclusions are deliberate.</w:t>
      </w:r>
    </w:p>
    <w:p>
      <w:pPr>
        <w:spacing w:after="160" w:line="300"/>
        <w:jc w:val="both"/>
      </w:pPr>
      <w:r>
        <w:t xml:space="preserve">No comparison against SCMoE-PFL or CFMD-i is attempted. Neither publishes an implementation, and comparing against a reimplementation would measure the reimplementation. This also means no claim is made about relative computational efficiency, since establishing one would require running both.</w:t>
      </w:r>
    </w:p>
    <w:p>
      <w:pPr>
        <w:spacing w:after="160" w:line="300"/>
        <w:jc w:val="both"/>
      </w:pPr>
      <w:r>
        <w:t xml:space="preserve">Differential privacy and secure aggregation are out of scope. The threat model here is statistical heterogeneity, not an adversarial server.</w:t>
      </w:r>
    </w:p>
    <w:p>
      <w:pPr>
        <w:spacing w:after="160" w:line="300"/>
        <w:jc w:val="both"/>
      </w:pPr>
      <w:r>
        <w:t xml:space="preserve">Attack detection is treated as multi-class classification over labelled traffic. Unsupervised anomaly detection, as in Fed-ANIDS, is a different problem.</w:t>
      </w:r>
    </w:p>
    <w:p>
      <w:r>
        <w:br w:type="page"/>
      </w:r>
    </w:p>
    <w:p>
      <w:pPr>
        <w:pStyle w:val="Heading1"/>
      </w:pPr>
      <w:r>
        <w:t xml:space="preserve">Testing and Verification</w:t>
      </w:r>
    </w:p>
    <w:p>
      <w:pPr>
        <w:spacing w:after="160" w:line="300"/>
        <w:jc w:val="both"/>
      </w:pPr>
      <w:r>
        <w:t xml:space="preserve">Nothing in this project is user-facing, so testing means establishing that the pipeline produces what it claims and that measured differences come from the change under test. This chapter records how each part was verified and which checks caught real errors.</w:t>
      </w:r>
    </w:p>
    <w:p>
      <w:pPr>
        <w:pStyle w:val="Heading2"/>
      </w:pPr>
      <w:r>
        <w:t xml:space="preserve">Verifying the reproduction</w:t>
      </w:r>
    </w:p>
    <w:p>
      <w:pPr>
        <w:spacing w:after="160" w:line="300"/>
        <w:jc w:val="both"/>
      </w:pPr>
      <w:r>
        <w:t xml:space="preserve">The first test was whether the unmodified implementation reproduces its published result. Running it on EMNIST-10 for four hundred global rounds gave a peak personalised accuracy of 96.45 per cent against the 96.49 reported in the paper, a difference of 0.04 percentage points.</w:t>
      </w:r>
    </w:p>
    <w:p>
      <w:pPr>
        <w:spacing w:after="160" w:line="300"/>
        <w:jc w:val="both"/>
      </w:pPr>
      <w:r>
        <w:t xml:space="preserve">This matters more than a sanity check. The run carries the argument binding defect, since it is present in the released code, and it still lands on the published figure. That is evidence the defect was present when the paper's results were produced, and it licenses treating later measurements as changes to the method rather than symptoms of a broken build.</w:t>
      </w:r>
    </w:p>
    <w:p>
      <w:pPr>
        <w:pStyle w:val="Heading2"/>
      </w:pPr>
      <w:r>
        <w:t xml:space="preserve">Loader invariants</w:t>
      </w:r>
    </w:p>
    <w:p>
      <w:pPr>
        <w:spacing w:after="160" w:line="300"/>
        <w:jc w:val="both"/>
      </w:pPr>
      <w:r>
        <w:t xml:space="preserve">Each loader is checked against six invariants before use.</w:t>
      </w:r>
    </w:p>
    <w:p>
      <w:pPr>
        <w:spacing w:after="160" w:line="300"/>
        <w:jc w:val="both"/>
      </w:pPr>
      <w:r>
        <w:t xml:space="preserve">No row appears in both the training and evaluation split for a client. Every class present in the corpus appears in both the pooled training and pooled evaluation sets. The pooled training features have approximately zero mean and unit standard deviation, confirming the scaler was fitted and applied. No non-finite values survive. The per-client, per-class split ratio lies within 0.70 and 0.80 of the intended 0.75. No client is empty and no team is empty.</w:t>
      </w:r>
    </w:p>
    <w:p>
      <w:pPr>
        <w:spacing w:after="160" w:line="300"/>
        <w:jc w:val="both"/>
      </w:pPr>
      <w:r>
        <w:t xml:space="preserve">The team check exists because it caught a real defect. One loader's sequential assignment hardcodes its group boundaries to two specific client indices rather than computing them, which at forty clients produces groups of eleven, twenty-six and three and leaves the fourth team with no members. A team with no members divides by zero when its sample proportion is computed.</w:t>
      </w:r>
    </w:p>
    <w:p>
      <w:pPr>
        <w:pStyle w:val="Heading2"/>
      </w:pPr>
      <w:r>
        <w:t xml:space="preserve">Errors the checks caught</w:t>
      </w:r>
    </w:p>
    <w:p>
      <w:pPr>
        <w:spacing w:after="160" w:line="300"/>
        <w:jc w:val="both"/>
      </w:pPr>
      <w:r>
        <w:t xml:space="preserve">Four errors reached a run before being caught, and the way each surfaced is worth recording.</w:t>
      </w:r>
    </w:p>
    <w:p>
      <w:pPr>
        <w:pStyle w:val="Heading3"/>
      </w:pPr>
      <w:r>
        <w:t xml:space="preserve">A split that produced empty test classes</w:t>
      </w:r>
    </w:p>
    <w:p>
      <w:pPr>
        <w:spacing w:after="160" w:line="300"/>
        <w:jc w:val="both"/>
      </w:pPr>
      <w:r>
        <w:t xml:space="preserve">The first temporal split ordered each client's rows by time and cut at seventy-five per cent. Attacks in CICIDS2017 occupy contiguous windows, so this gave the evaluation set whichever attack ran last and placed the others entirely in training. Wednesday clients trained on 2,913 denial-of-service samples and were evaluated on none.</w:t>
      </w:r>
    </w:p>
    <w:p>
      <w:pPr>
        <w:spacing w:after="160" w:line="300"/>
        <w:jc w:val="both"/>
      </w:pPr>
      <w:r>
        <w:t xml:space="preserve">The symptom was not an exception. It was that the personalised models scored 0.45 accuracy where a classifier that always predicts benign scores 0.82. A model below the majority-class baseline indicates a setup fault rather than a weak method, and that comparison is the check that caught it. The correction is to split each class on its own timeline.</w:t>
      </w:r>
    </w:p>
    <w:p>
      <w:pPr>
        <w:pStyle w:val="Heading3"/>
      </w:pPr>
      <w:r>
        <w:t xml:space="preserve">A control flow error that passed the syntax check</w:t>
      </w:r>
    </w:p>
    <w:p>
      <w:pPr>
        <w:spacing w:after="160" w:line="300"/>
        <w:jc w:val="both"/>
      </w:pPr>
      <w:r>
        <w:t xml:space="preserve">A guard inserted between a conditional branch and its trailing </w:t>
      </w:r>
      <w:r>
        <w:rPr>
          <w:rFonts w:ascii="Consolas" w:cs="Consolas" w:eastAsia="Consolas" w:hAnsi="Consolas"/>
          <w:sz w:val="20"/>
          <w:szCs w:val="20"/>
        </w:rPr>
        <w:t xml:space="preserve">else</w:t>
      </w:r>
      <w:r>
        <w:t xml:space="preserve"> turned the construct into a </w:t>
      </w:r>
      <w:r>
        <w:rPr>
          <w:rFonts w:ascii="Consolas" w:cs="Consolas" w:eastAsia="Consolas" w:hAnsi="Consolas"/>
          <w:sz w:val="20"/>
          <w:szCs w:val="20"/>
        </w:rPr>
        <w:t xml:space="preserve">for</w:t>
      </w:r>
      <w:r>
        <w:t xml:space="preserve">-</w:t>
      </w:r>
      <w:r>
        <w:rPr>
          <w:rFonts w:ascii="Consolas" w:cs="Consolas" w:eastAsia="Consolas" w:hAnsi="Consolas"/>
          <w:sz w:val="20"/>
          <w:szCs w:val="20"/>
        </w:rPr>
        <w:t xml:space="preserve">else</w:t>
      </w:r>
      <w:r>
        <w:t xml:space="preserve">, which is valid Python. The </w:t>
      </w:r>
      <w:r>
        <w:rPr>
          <w:rFonts w:ascii="Consolas" w:cs="Consolas" w:eastAsia="Consolas" w:hAnsi="Consolas"/>
          <w:sz w:val="20"/>
          <w:szCs w:val="20"/>
        </w:rPr>
        <w:t xml:space="preserve">else</w:t>
      </w:r>
      <w:r>
        <w:t xml:space="preserve"> then bound to the loop and raised on every call. Eight queued runs each exited in three seconds. The parser had accepted the file.</w:t>
      </w:r>
    </w:p>
    <w:p>
      <w:pPr>
        <w:spacing w:after="160" w:line="300"/>
        <w:jc w:val="both"/>
      </w:pPr>
      <w:r>
        <w:t xml:space="preserve">The lesson recorded here is that a syntax check is not an execution check. Every subsequent queue was preceded by a single short run of the same configuration.</w:t>
      </w:r>
    </w:p>
    <w:p>
      <w:pPr>
        <w:pStyle w:val="Heading3"/>
      </w:pPr>
      <w:r>
        <w:t xml:space="preserve">An undefined name from statement ordering</w:t>
      </w:r>
    </w:p>
    <w:p>
      <w:pPr>
        <w:spacing w:after="160" w:line="300"/>
        <w:jc w:val="both"/>
      </w:pPr>
      <w:r>
        <w:t xml:space="preserve">A module-level assignment reading an environment variable was inserted above the import that provides the module it calls. Forty-six queued runs failed identically. Again the file parsed.</w:t>
      </w:r>
    </w:p>
    <w:p>
      <w:pPr>
        <w:pStyle w:val="Heading3"/>
      </w:pPr>
      <w:r>
        <w:t xml:space="preserve">A metric measured against a moving target</w:t>
      </w:r>
    </w:p>
    <w:p>
      <w:pPr>
        <w:spacing w:after="160" w:line="300"/>
        <w:jc w:val="both"/>
      </w:pPr>
      <w:r>
        <w:t xml:space="preserve">Benign thinning was initially applied before the train and test split, so it thinned both. The accuracy floor moved from 0.8171 to 0.7008, meaning comparisons across thinning settings sat on different evaluation targets. The correction, following the reference implementation, applies thinning to the training split only, leaving the evaluation set at its natural class balance. The floors are now constant across settings.</w:t>
      </w:r>
    </w:p>
    <w:p>
      <w:pPr>
        <w:pStyle w:val="Heading2"/>
      </w:pPr>
      <w:r>
        <w:t xml:space="preserve">Verifying the modifications</w:t>
      </w:r>
    </w:p>
    <w:p>
      <w:pPr>
        <w:spacing w:after="160" w:line="300"/>
        <w:jc w:val="both"/>
      </w:pPr>
      <w:r>
        <w:t xml:space="preserve">Each modification was verified by measuring the quantity it was supposed to change.</w:t>
      </w:r>
    </w:p>
    <w:p>
      <w:pPr>
        <w:spacing w:after="160" w:line="300"/>
        <w:jc w:val="both"/>
      </w:pPr>
      <w:r>
        <w:t xml:space="preserve">For the argument binding fix, the optimiser's penalty weight was read directly before and after: twenty before, matching the local iteration count, and the supplied value after. The per-step pull changed from 0.2 to 0.05 as predicted.</w:t>
      </w:r>
    </w:p>
    <w:p>
      <w:pPr>
        <w:spacing w:after="160" w:line="300"/>
        <w:jc w:val="both"/>
      </w:pPr>
      <w:r>
        <w:t xml:space="preserve">For seeding, an identical configuration was run at two seeds and the results compared. Before the change they were identical to four decimal places; after it they differed.</w:t>
      </w:r>
    </w:p>
    <w:p>
      <w:pPr>
        <w:spacing w:after="160" w:line="300"/>
        <w:jc w:val="both"/>
      </w:pPr>
      <w:r>
        <w:t xml:space="preserve">For the synthetic split fix, the split was hashed across three separate processes. Before the change the three hashes differed; after, they matched.</w:t>
      </w:r>
    </w:p>
    <w:p>
      <w:pPr>
        <w:spacing w:after="160" w:line="300"/>
        <w:jc w:val="both"/>
      </w:pPr>
      <w:r>
        <w:t xml:space="preserve">The clustering module was tested against synthetic data with known group structure: twenty points drawn from five well-separated latent clusters. It recovered them at an adjusted Rand index of 0.762 with equal group sizes, and the trigger fired on separated data while holding off on near-identical data.</w:t>
      </w:r>
    </w:p>
    <w:p>
      <w:pPr>
        <w:pStyle w:val="Heading2"/>
      </w:pPr>
      <w:r>
        <w:t xml:space="preserve">Establishing what counts as a difference</w:t>
      </w:r>
    </w:p>
    <w:p>
      <w:pPr>
        <w:spacing w:after="160" w:line="300"/>
        <w:jc w:val="both"/>
      </w:pPr>
      <w:r>
        <w:t xml:space="preserve">A measurement is only interpretable against the variation of the measurement itself. Two runs of an identical configuration, differing only in their position in the experiment schedule, gave personalised macro F1 of 0.7318 and 0.7244, a difference of 0.0074.</w:t>
      </w:r>
    </w:p>
    <w:p>
      <w:pPr>
        <w:spacing w:after="160" w:line="300"/>
        <w:jc w:val="both"/>
      </w:pPr>
      <w:r>
        <w:t xml:space="preserve">Differences below roughly 0.01 are therefore not distinguishable from run-to-run variation, and a threshold of 0.03 was adopted before results were examined. Several comparisons fall below it and are reported as null rather than as small effects. The largest such is 0.0016, which is an order of magnitude inside the floor.</w:t>
      </w:r>
    </w:p>
    <w:p>
      <w:pPr>
        <w:pStyle w:val="Heading2"/>
      </w:pPr>
      <w:r>
        <w:t xml:space="preserve">What was not tested</w:t>
      </w:r>
    </w:p>
    <w:p>
      <w:pPr>
        <w:spacing w:after="160" w:line="300"/>
        <w:jc w:val="both"/>
      </w:pPr>
      <w:r>
        <w:t xml:space="preserve">There is no unit test suite. The base implementation ships none, and adding one would have meant characterising behaviour the project set out to question. Verification here is at the level of measured invariants and reproduced published figures, which suits an experimental study but would not suit software intended for use.</w:t>
      </w:r>
    </w:p>
    <w:p>
      <w:pPr>
        <w:spacing w:after="160" w:line="300"/>
        <w:jc w:val="both"/>
      </w:pPr>
      <w:r>
        <w:t xml:space="preserve">The CUDA path is untested. All experiments ran on CPU and no GPU was available. The device selection logic is exercised only in its CPU branch.</w:t>
      </w:r>
    </w:p>
    <w:p>
      <w:r>
        <w:br w:type="page"/>
      </w:r>
    </w:p>
    <w:p>
      <w:pPr>
        <w:pStyle w:val="Heading1"/>
      </w:pPr>
      <w:r>
        <w:t xml:space="preserve">Critical and qualitative evaluation</w:t>
      </w:r>
    </w:p>
    <w:p>
      <w:pPr>
        <w:spacing w:after="160" w:line="300"/>
        <w:jc w:val="both"/>
      </w:pPr>
      <w:r>
        <w:t xml:space="preserve">This is section 7.6 of the alternate structure. It is written to follow a results presentation, so it slots after the existing chapter 5 either as a closing section of that chapter or as a short chapter of its own.</w:t>
      </w:r>
    </w:p>
    <w:p>
      <w:pPr>
        <w:pStyle w:val="Heading3"/>
      </w:pPr>
      <w:r>
        <w:t xml:space="preserve">What the work establishes</w:t>
      </w:r>
    </w:p>
    <w:p>
      <w:pPr>
        <w:spacing w:after="160" w:line="300"/>
        <w:jc w:val="both"/>
      </w:pPr>
      <w:r>
        <w:t xml:space="preserve">The reproduction is exact and the defect catalogue is verifiable line by line, so neither depends on trusting the analysis. The tier finding is supported across three datasets and four team counts with a mechanism derived from the update rule rather than inferred from outcomes, and the mechanism predicts the regression in Section~(see above) as well as the improvements. The decoupling result is paired, seeded and significant across twelve configurations.</w:t>
      </w:r>
    </w:p>
    <w:p>
      <w:pPr>
        <w:pStyle w:val="Heading3"/>
      </w:pPr>
      <w:r>
        <w:t xml:space="preserve">What it does not establish</w:t>
      </w:r>
    </w:p>
    <w:p>
      <w:pPr>
        <w:spacing w:after="160" w:line="300"/>
        <w:jc w:val="both"/>
      </w:pPr>
      <w:r>
        <w:t xml:space="preserve">The comparison against other methods is absent. Neither SCMoE-PFL nor CFMD-i publishes an implementation, so no relative claim about accuracy or efficiency is made. Runs completed in minutes on one CPU core where a mixture-of-experts implementation required hours on a GPU, but the client counts, datasets and software stacks differ, so that observation is structural rather than measured.</w:t>
      </w:r>
    </w:p>
    <w:p>
      <w:pPr>
        <w:spacing w:after="160" w:line="300"/>
        <w:jc w:val="both"/>
      </w:pPr>
      <w:r>
        <w:t xml:space="preserve">The baselines shipped with the base implementation were not run on the intrusion detection data. Only the method under test carries the metric instrumentation this study requires, and extending it to the others was not completed. The consequence is that the results position PerMFL against its own configurations and against local training, not against the federated literature.</w:t>
      </w:r>
    </w:p>
    <w:p>
      <w:pPr>
        <w:spacing w:after="160" w:line="300"/>
        <w:jc w:val="both"/>
      </w:pPr>
      <w:r>
        <w:t xml:space="preserve">Several exploratory results rest on single runs. The local depth and communication sweeps are reported as exploratory for that reason, though their effects, up to 0.29 macro F1, are far outside the noise floor.</w:t>
      </w:r>
    </w:p>
    <w:p>
      <w:pPr>
        <w:spacing w:after="160" w:line="300"/>
        <w:jc w:val="both"/>
      </w:pPr>
      <w:r>
        <w:t xml:space="preserve">The clustering signal is parameter-space only. CFMD-i additionally uses an output-space divergence, which is likely the better signal under label skew, since two clients can hold near-identical weights and behave differently. Given that the term the clustering feeds is weighted at 3.3 per cent, a better signal would probably not change the conclusion, but that is an argument rather than a measurement.</w:t>
      </w:r>
    </w:p>
    <w:p>
      <w:pPr>
        <w:pStyle w:val="Heading3"/>
      </w:pPr>
      <w:r>
        <w:t xml:space="preserve">Threats to validity</w:t>
      </w:r>
    </w:p>
    <w:p>
      <w:pPr>
        <w:spacing w:after="160" w:line="300"/>
        <w:jc w:val="both"/>
      </w:pPr>
      <w:r>
        <w:t xml:space="preserve">The heterogeneity measure is the divergence between label distributions, which does not capture feature-space or concept differences. A partition producing identical label distributions with different decision boundaries would register as homogeneous.</w:t>
      </w:r>
    </w:p>
    <w:p>
      <w:pPr>
        <w:spacing w:after="160" w:line="300"/>
        <w:jc w:val="both"/>
      </w:pPr>
      <w:r>
        <w:t xml:space="preserve">The structural ceiling calculation assumes a client can only predict classes it trained on. A model that generalises across classes could exceed it, so the bound is conservative rather than exact.</w:t>
      </w:r>
    </w:p>
    <w:p>
      <w:pPr>
        <w:spacing w:after="160" w:line="300"/>
        <w:jc w:val="both"/>
      </w:pPr>
      <w:r>
        <w:t xml:space="preserve">The per-client cap flattens client sizes to a narrow band, suppressing quantity skew that real deployments exhibit. The host-based partition is the exception, with client sizes spanning 1,984 to 37,832 rows.</w:t>
      </w:r>
    </w:p>
    <w:p>
      <w:pPr>
        <w:spacing w:after="160" w:line="300"/>
        <w:jc w:val="both"/>
      </w:pPr>
      <w:r>
        <w:t xml:space="preserve">Two datasets share an origin, and CICIDS2017 and NSL-KDD are both laboratory captures with scripted attacks. Agreement between them is weaker evidence than agreement between independent sources would be.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2026-08-27T21:48:14.305Z</dcterms:created>
  <dcterms:modified xsi:type="dcterms:W3CDTF">2026-08-27T21:48:14.305Z</dcterms:modified>
</cp:coreProperties>
</file>

<file path=docProps/custom.xml><?xml version="1.0" encoding="utf-8"?>
<Properties xmlns="http://schemas.openxmlformats.org/officeDocument/2006/custom-properties" xmlns:vt="http://schemas.openxmlformats.org/officeDocument/2006/docPropsVTypes"/>
</file>