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t xml:space="preserve">This project takes PerMFL (Permfl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2020) takes the first route using Moreau envelopes. Each client solves a regularised local problem whose solution is pulled toward the global model by a penalty term, so the client model can specialise without drifting arbitrarily far. Ditto (Li 2021) and Per-FedAvg (Fallah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2021) adds client migration between clusters to handle distribution shift, keeping the number of clusters fixed. FedDrift (Jothimurugesan 2023) handles concept drift with both splits and merges. A recent survey (Cfl Survey 2025) organises these approaches and notes that basic clustered methods, limited to splitting, perform poorly under complex drift.</w:t>
      </w:r>
    </w:p>
    <w:p>
      <w:pPr/>
      <w:r>
        <w:t xml:space="preserve">HCFL+ (Hcfl 2025) generalises clustered federated learning into a four-tier framework with dynamic re-clustering, unifying soft and hard clustering under a common objective.</w:t>
      </w:r>
    </w:p>
    <w:p>
      <w:pPr/>
      <w:r>
        <w:t xml:space="preserve">SCMoE-PFL (Scmoe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(Permfl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(Cfmdi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(Clusterfed 2025) uses self-supervised clustering with balanced assignment via Sinkhorn-Knopp, which prevents cluster collapse. It partitions clients by Dirichlet sampling at $\alpha = 0.1$.</w:t>
      </w:r>
    </w:p>
    <w:p>
      <w:pPr/>
      <w:r>
        <w:t xml:space="preserve">Stones From Other Hills (Soh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(Fedanids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[TO SUPPLY: EthOS number].</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t xml:space="preserve">Sixteen defects were catalogued. Those that affect results are listed here; the remainder appear in Appendix~[TO SUPPLY: ref].</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+0.0345</w:t>
            </w:r>
          </w:p>
        </w:tc>
        <w:tc>
          <w:tcPr>
            <w:tcW w:w="1804" w:type="dxa"/>
          </w:tcPr>
          <w:p>
            <w:pPr>
              <w:spacing w:before="20" w:after="20"/>
            </w:pPr>
            <w:r>
              <w:rPr>
                <w:sz w:val="17"/>
              </w:rPr>
              <w:t xml:space="preserve">21.28</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0.0345</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spacing w:before="180" w:after="60"/>
      </w:pPr>
      <w:r>
        <w:rPr>
          <w:b/>
          <w:i/>
        </w:rP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32.49</w:t>
            </w:r>
          </w:p>
        </w:tc>
        <w:tc>
          <w:tcPr>
            <w:tcW w:w="1288" w:type="dxa"/>
          </w:tcPr>
          <w:p>
            <w:pPr>
              <w:spacing w:before="20" w:after="20"/>
            </w:pPr>
            <w:r>
              <w:rPr>
                <w:sz w:val="17"/>
              </w:rPr>
              <w:t xml:space="preserve">+0.3973</w:t>
            </w:r>
          </w:p>
        </w:tc>
        <w:tc>
          <w:tcPr>
            <w:tcW w:w="1288" w:type="dxa"/>
          </w:tcPr>
          <w:p>
            <w:pPr>
              <w:spacing w:before="20" w:after="20"/>
            </w:pPr>
            <w:r>
              <w:rPr>
                <w:sz w:val="17"/>
              </w:rPr>
              <w:t xml:space="preserve">44.74</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36.39</w:t>
            </w:r>
          </w:p>
        </w:tc>
        <w:tc>
          <w:tcPr>
            <w:tcW w:w="1288" w:type="dxa"/>
          </w:tcPr>
          <w:p>
            <w:pPr>
              <w:spacing w:before="20" w:after="20"/>
            </w:pPr>
            <w:r>
              <w:rPr>
                <w:sz w:val="17"/>
              </w:rPr>
              <w:t xml:space="preserve">+0.5130</w:t>
            </w:r>
          </w:p>
        </w:tc>
        <w:tc>
          <w:tcPr>
            <w:tcW w:w="1288" w:type="dxa"/>
          </w:tcPr>
          <w:p>
            <w:pPr>
              <w:spacing w:before="20" w:after="20"/>
            </w:pPr>
            <w:r>
              <w:rPr>
                <w:sz w:val="17"/>
              </w:rPr>
              <w:t xml:space="preserve">57.91</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82.83</w:t>
            </w:r>
          </w:p>
        </w:tc>
        <w:tc>
          <w:tcPr>
            <w:tcW w:w="1288" w:type="dxa"/>
          </w:tcPr>
          <w:p>
            <w:pPr>
              <w:spacing w:before="20" w:after="20"/>
            </w:pPr>
            <w:r>
              <w:rPr>
                <w:sz w:val="17"/>
              </w:rPr>
              <w:t xml:space="preserve">+0.7049</w:t>
            </w:r>
          </w:p>
        </w:tc>
        <w:tc>
          <w:tcPr>
            <w:tcW w:w="1288" w:type="dxa"/>
          </w:tcPr>
          <w:p>
            <w:pPr>
              <w:spacing w:before="20" w:after="20"/>
            </w:pPr>
            <w:r>
              <w:rPr>
                <w:sz w:val="17"/>
              </w:rPr>
              <w:t xml:space="preserve">213.4</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5.84</w:t>
            </w:r>
          </w:p>
        </w:tc>
        <w:tc>
          <w:tcPr>
            <w:tcW w:w="1288" w:type="dxa"/>
          </w:tcPr>
          <w:p>
            <w:pPr>
              <w:spacing w:before="20" w:after="20"/>
            </w:pPr>
            <w:r>
              <w:rPr>
                <w:sz w:val="17"/>
              </w:rPr>
              <w:t xml:space="preserve">+0.1572</w:t>
            </w:r>
          </w:p>
        </w:tc>
        <w:tc>
          <w:tcPr>
            <w:tcW w:w="1288" w:type="dxa"/>
          </w:tcPr>
          <w:p>
            <w:pPr>
              <w:spacing w:before="20" w:after="20"/>
            </w:pPr>
            <w:r>
              <w:rPr>
                <w:sz w:val="17"/>
              </w:rPr>
              <w:t xml:space="preserve">7.78</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+0.1093</w:t>
            </w:r>
          </w:p>
        </w:tc>
        <w:tc>
          <w:tcPr>
            <w:tcW w:w="1288" w:type="dxa"/>
          </w:tcPr>
          <w:p>
            <w:pPr>
              <w:spacing w:before="20" w:after="20"/>
            </w:pPr>
            <w:r>
              <w:rPr>
                <w:sz w:val="17"/>
              </w:rPr>
              <w:t xml:space="preserve">17.44</w:t>
            </w:r>
          </w:p>
        </w:tc>
        <w:tc>
          <w:tcPr>
            <w:tcW w:w="1288" w:type="dxa"/>
          </w:tcPr>
          <w:p>
            <w:pPr>
              <w:spacing w:before="20" w:after="20"/>
            </w:pPr>
            <w:r>
              <w:rPr>
                <w:sz w:val="17"/>
              </w:rPr>
              <w:t xml:space="preserve">+0.2881</w:t>
            </w:r>
          </w:p>
        </w:tc>
        <w:tc>
          <w:tcPr>
            <w:tcW w:w="1288" w:type="dxa"/>
          </w:tcPr>
          <w:p>
            <w:pPr>
              <w:spacing w:before="20" w:after="20"/>
            </w:pPr>
            <w:r>
              <w:rPr>
                <w:sz w:val="17"/>
              </w:rPr>
              <w:t xml:space="preserve">8.86</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20.01</w:t>
            </w:r>
          </w:p>
        </w:tc>
        <w:tc>
          <w:tcPr>
            <w:tcW w:w="1288" w:type="dxa"/>
          </w:tcPr>
          <w:p>
            <w:pPr>
              <w:spacing w:before="20" w:after="20"/>
            </w:pPr>
            <w:r>
              <w:rPr>
                <w:sz w:val="17"/>
              </w:rPr>
              <w:t xml:space="preserve">+0.3764</w:t>
            </w:r>
          </w:p>
        </w:tc>
        <w:tc>
          <w:tcPr>
            <w:tcW w:w="1288" w:type="dxa"/>
          </w:tcPr>
          <w:p>
            <w:pPr>
              <w:spacing w:before="20" w:after="20"/>
            </w:pPr>
            <w:r>
              <w:rPr>
                <w:sz w:val="17"/>
              </w:rPr>
              <w:t xml:space="preserve">26.76</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12.98</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16.29</w:t>
            </w:r>
          </w:p>
        </w:tc>
        <w:tc>
          <w:tcPr>
            <w:tcW w:w="1288" w:type="dxa"/>
          </w:tcPr>
          <w:p>
            <w:pPr>
              <w:spacing w:before="20" w:after="20"/>
            </w:pPr>
            <w:r>
              <w:rPr>
                <w:sz w:val="17"/>
              </w:rPr>
              <w:t xml:space="preserve">+0.1128</w:t>
            </w:r>
          </w:p>
        </w:tc>
        <w:tc>
          <w:tcPr>
            <w:tcW w:w="1288" w:type="dxa"/>
          </w:tcPr>
          <w:p>
            <w:pPr>
              <w:spacing w:before="20" w:after="20"/>
            </w:pPr>
            <w:r>
              <w:rPr>
                <w:sz w:val="17"/>
              </w:rPr>
              <w:t xml:space="preserve">5.75</w:t>
            </w:r>
          </w:p>
        </w:tc>
      </w:tr>
    </w:tbl>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t xml:space="preserve">Several exploratory results rest on single runs. The local depth and communication sweeps are reported as exploratory for that reason, though their effects, up to 0.29 macro F1, are far outside the noise floor.</w:t>
      </w:r>
    </w:p>
    <w:p>
      <w:pPr/>
      <w: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