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E90" w:rsidRDefault="007C7861">
      <w:pPr>
        <w:spacing w:after="845" w:line="259" w:lineRule="auto"/>
        <w:ind w:left="0" w:firstLine="0"/>
        <w:jc w:val="center"/>
      </w:pPr>
      <w:r>
        <w:rPr>
          <w:sz w:val="50"/>
        </w:rPr>
        <w:t>PERSONALISED MULTI-TIER FEDERATED LEARNING FOR NETWORK INTRUSION DETECTION</w:t>
      </w:r>
    </w:p>
    <w:p w:rsidR="008C4E90" w:rsidRDefault="007C7861" w:rsidP="00D4239E">
      <w:pPr>
        <w:spacing w:after="89" w:line="259" w:lineRule="auto"/>
        <w:ind w:left="174" w:firstLine="0"/>
        <w:jc w:val="center"/>
      </w:pPr>
      <w:r>
        <w:t xml:space="preserve">A </w:t>
      </w:r>
      <w:r>
        <w:rPr>
          <w:sz w:val="19"/>
        </w:rPr>
        <w:t xml:space="preserve">DISSERTATION SUBMITTED TO </w:t>
      </w:r>
      <w:r>
        <w:t>M</w:t>
      </w:r>
      <w:r>
        <w:rPr>
          <w:sz w:val="19"/>
        </w:rPr>
        <w:t xml:space="preserve">ANCHESTER </w:t>
      </w:r>
      <w:r>
        <w:t>M</w:t>
      </w:r>
      <w:r>
        <w:rPr>
          <w:sz w:val="19"/>
        </w:rPr>
        <w:t xml:space="preserve">ETROPOLITAN </w:t>
      </w:r>
      <w:r>
        <w:t>U</w:t>
      </w:r>
      <w:r>
        <w:rPr>
          <w:sz w:val="19"/>
        </w:rPr>
        <w:t>NIVERSITY</w:t>
      </w:r>
    </w:p>
    <w:p w:rsidR="008C4E90" w:rsidRDefault="007C7861">
      <w:pPr>
        <w:spacing w:after="78" w:line="265" w:lineRule="auto"/>
        <w:jc w:val="center"/>
      </w:pPr>
      <w:r>
        <w:rPr>
          <w:sz w:val="19"/>
        </w:rPr>
        <w:t xml:space="preserve">FOR THE DEGREE OF </w:t>
      </w:r>
      <w:r>
        <w:t>M</w:t>
      </w:r>
      <w:r>
        <w:rPr>
          <w:sz w:val="19"/>
        </w:rPr>
        <w:t xml:space="preserve">ASTER OF </w:t>
      </w:r>
      <w:r>
        <w:t>S</w:t>
      </w:r>
      <w:r>
        <w:rPr>
          <w:sz w:val="19"/>
        </w:rPr>
        <w:t>CIENCE</w:t>
      </w:r>
    </w:p>
    <w:p w:rsidR="008C4E90" w:rsidRDefault="007C7861">
      <w:pPr>
        <w:spacing w:after="739" w:line="265" w:lineRule="auto"/>
        <w:jc w:val="center"/>
      </w:pPr>
      <w:r>
        <w:rPr>
          <w:sz w:val="19"/>
        </w:rPr>
        <w:t xml:space="preserve">IN THE </w:t>
      </w:r>
      <w:r>
        <w:t>F</w:t>
      </w:r>
      <w:r>
        <w:rPr>
          <w:sz w:val="19"/>
        </w:rPr>
        <w:t xml:space="preserve">ACULTY OF </w:t>
      </w:r>
      <w:r>
        <w:t>S</w:t>
      </w:r>
      <w:r>
        <w:rPr>
          <w:sz w:val="19"/>
        </w:rPr>
        <w:t xml:space="preserve">CIENCE AND </w:t>
      </w:r>
      <w:r>
        <w:t>E</w:t>
      </w:r>
      <w:r>
        <w:rPr>
          <w:sz w:val="19"/>
        </w:rPr>
        <w:t>NGINEERING</w:t>
      </w:r>
    </w:p>
    <w:p w:rsidR="008C4E90" w:rsidRDefault="007C7861">
      <w:pPr>
        <w:spacing w:after="455" w:line="259" w:lineRule="auto"/>
        <w:ind w:left="2466" w:firstLine="0"/>
        <w:jc w:val="left"/>
      </w:pPr>
      <w:r>
        <w:rPr>
          <w:noProof/>
        </w:rPr>
        <w:drawing>
          <wp:inline distT="0" distB="0" distL="0" distR="0">
            <wp:extent cx="2088035" cy="2078007"/>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2088035" cy="2078007"/>
                    </a:xfrm>
                    <a:prstGeom prst="rect">
                      <a:avLst/>
                    </a:prstGeom>
                  </pic:spPr>
                </pic:pic>
              </a:graphicData>
            </a:graphic>
          </wp:inline>
        </w:drawing>
      </w:r>
    </w:p>
    <w:p w:rsidR="008C4E90" w:rsidRDefault="007C7861">
      <w:pPr>
        <w:spacing w:after="1116" w:line="265" w:lineRule="auto"/>
        <w:jc w:val="center"/>
      </w:pPr>
      <w:r>
        <w:t>2026</w:t>
      </w:r>
    </w:p>
    <w:p w:rsidR="008C4E90" w:rsidRDefault="007C7861">
      <w:pPr>
        <w:spacing w:after="37" w:line="265" w:lineRule="auto"/>
        <w:jc w:val="center"/>
      </w:pPr>
      <w:r>
        <w:t>By</w:t>
      </w:r>
    </w:p>
    <w:p w:rsidR="008C4E90" w:rsidRDefault="007C7861">
      <w:pPr>
        <w:spacing w:after="37" w:line="265" w:lineRule="auto"/>
        <w:jc w:val="center"/>
      </w:pPr>
      <w:proofErr w:type="gramStart"/>
      <w:r>
        <w:t>Your</w:t>
      </w:r>
      <w:proofErr w:type="gramEnd"/>
      <w:r>
        <w:t xml:space="preserve"> Name</w:t>
      </w:r>
    </w:p>
    <w:p w:rsidR="008C4E90" w:rsidRDefault="007C7861">
      <w:pPr>
        <w:spacing w:after="37" w:line="265" w:lineRule="auto"/>
        <w:jc w:val="center"/>
      </w:pPr>
      <w:r>
        <w:rPr>
          <w:highlight w:val="red"/>
        </w:rPr>
        <w:t>Department of Computing and Mathematics</w:t>
      </w:r>
    </w:p>
    <w:sdt>
      <w:sdtPr>
        <w:id w:val="-1892185860"/>
        <w:docPartObj>
          <w:docPartGallery w:val="Table of Contents"/>
          <w:docPartUnique/>
        </w:docPartObj>
      </w:sdtPr>
      <w:sdtEndPr>
        <w:rPr>
          <w:rFonts w:ascii="Calibri" w:eastAsia="Calibri" w:hAnsi="Calibri" w:cs="Calibri"/>
          <w:b/>
          <w:bCs/>
          <w:noProof/>
          <w:color w:val="000000"/>
          <w:sz w:val="24"/>
          <w:szCs w:val="22"/>
          <w:lang w:val="en-GB" w:eastAsia="en-GB"/>
        </w:rPr>
      </w:sdtEndPr>
      <w:sdtContent>
        <w:p w:rsidR="00650207" w:rsidRDefault="00650207">
          <w:pPr>
            <w:pStyle w:val="TOCHeading"/>
          </w:pPr>
          <w:r>
            <w:t>Contents</w:t>
          </w:r>
        </w:p>
        <w:p>
          <w:pPr>
            <w:pBdr>
              <w:top w:val="single" w:sz="6" w:space="4" w:color="C00000"/>
              <w:bottom w:val="single" w:sz="6" w:space="4" w:color="C00000"/>
            </w:pBdr>
            <w:spacing w:before="120" w:after="120"/>
          </w:pPr>
          <w:r>
            <w:rPr>
              <w:i/>
              <w:sz w:val="18"/>
            </w:rPr>
            <w:t xml:space="preserve">Draft marking: text highlighted in RED is a placeholder that must be replaced before submission. Text highlighted in YELLOW is a claim that is either unverified, rests on a single run, or depends on a citation whose details need checking. Neither colour should survive into the final document.</w:t>
          </w:r>
        </w:p>
        <w:p w:rsidR="00650207" w:rsidRDefault="00650207">
          <w:pPr>
            <w:pStyle w:val="TOC1"/>
            <w:tabs>
              <w:tab w:val="right" w:leader="dot" w:pos="82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40898999" w:history="1">
            <w:r w:rsidRPr="006A17B9">
              <w:rPr>
                <w:rStyle w:val="Hyperlink"/>
                <w:noProof/>
              </w:rPr>
              <w:t>Abstract</w:t>
            </w:r>
            <w:r>
              <w:rPr>
                <w:noProof/>
                <w:webHidden/>
              </w:rPr>
              <w:tab/>
            </w:r>
            <w:r>
              <w:rPr>
                <w:noProof/>
                <w:webHidden/>
              </w:rPr>
              <w:fldChar w:fldCharType="begin"/>
            </w:r>
            <w:r>
              <w:rPr>
                <w:noProof/>
                <w:webHidden/>
              </w:rPr>
              <w:instrText xml:space="preserve"> PAGEREF _Toc40898999 \h </w:instrText>
            </w:r>
            <w:r>
              <w:rPr>
                <w:noProof/>
                <w:webHidden/>
              </w:rPr>
            </w:r>
            <w:r>
              <w:rPr>
                <w:noProof/>
                <w:webHidden/>
              </w:rPr>
              <w:fldChar w:fldCharType="separate"/>
            </w:r>
            <w:r>
              <w:rPr>
                <w:noProof/>
                <w:webHidden/>
              </w:rPr>
              <w:t>v</w:t>
            </w:r>
            <w:r>
              <w:rPr>
                <w:noProof/>
                <w:webHidden/>
              </w:rPr>
              <w:fldChar w:fldCharType="end"/>
            </w:r>
          </w:hyperlink>
        </w:p>
        <w:p w:rsidR="00650207" w:rsidRDefault="00650207">
          <w:pPr>
            <w:pStyle w:val="TOC1"/>
            <w:tabs>
              <w:tab w:val="right" w:leader="dot" w:pos="8211"/>
            </w:tabs>
            <w:rPr>
              <w:rFonts w:asciiTheme="minorHAnsi" w:eastAsiaTheme="minorEastAsia" w:hAnsiTheme="minorHAnsi" w:cstheme="minorBidi"/>
              <w:noProof/>
              <w:color w:val="auto"/>
            </w:rPr>
          </w:pPr>
          <w:hyperlink w:anchor="_Toc40899000" w:history="1">
            <w:r w:rsidRPr="006A17B9">
              <w:rPr>
                <w:rStyle w:val="Hyperlink"/>
                <w:noProof/>
              </w:rPr>
              <w:t>Declaration</w:t>
            </w:r>
            <w:r>
              <w:rPr>
                <w:noProof/>
                <w:webHidden/>
              </w:rPr>
              <w:tab/>
            </w:r>
            <w:r>
              <w:rPr>
                <w:noProof/>
                <w:webHidden/>
              </w:rPr>
              <w:fldChar w:fldCharType="begin"/>
            </w:r>
            <w:r>
              <w:rPr>
                <w:noProof/>
                <w:webHidden/>
              </w:rPr>
              <w:instrText xml:space="preserve"> PAGEREF _Toc40899000 \h </w:instrText>
            </w:r>
            <w:r>
              <w:rPr>
                <w:noProof/>
                <w:webHidden/>
              </w:rPr>
            </w:r>
            <w:r>
              <w:rPr>
                <w:noProof/>
                <w:webHidden/>
              </w:rPr>
              <w:fldChar w:fldCharType="separate"/>
            </w:r>
            <w:r>
              <w:rPr>
                <w:noProof/>
                <w:webHidden/>
              </w:rPr>
              <w:t>vi</w:t>
            </w:r>
            <w:r>
              <w:rPr>
                <w:noProof/>
                <w:webHidden/>
              </w:rPr>
              <w:fldChar w:fldCharType="end"/>
            </w:r>
          </w:hyperlink>
        </w:p>
        <w:p w:rsidR="00650207" w:rsidRDefault="00650207">
          <w:pPr>
            <w:pStyle w:val="TOC1"/>
            <w:tabs>
              <w:tab w:val="right" w:leader="dot" w:pos="8211"/>
            </w:tabs>
            <w:rPr>
              <w:rFonts w:asciiTheme="minorHAnsi" w:eastAsiaTheme="minorEastAsia" w:hAnsiTheme="minorHAnsi" w:cstheme="minorBidi"/>
              <w:noProof/>
              <w:color w:val="auto"/>
            </w:rPr>
          </w:pPr>
          <w:hyperlink w:anchor="_Toc40899001" w:history="1">
            <w:r w:rsidRPr="006A17B9">
              <w:rPr>
                <w:rStyle w:val="Hyperlink"/>
                <w:noProof/>
              </w:rPr>
              <w:t>Acknowledgements</w:t>
            </w:r>
            <w:r>
              <w:rPr>
                <w:noProof/>
                <w:webHidden/>
              </w:rPr>
              <w:tab/>
            </w:r>
            <w:r>
              <w:rPr>
                <w:noProof/>
                <w:webHidden/>
              </w:rPr>
              <w:fldChar w:fldCharType="begin"/>
            </w:r>
            <w:r>
              <w:rPr>
                <w:noProof/>
                <w:webHidden/>
              </w:rPr>
              <w:instrText xml:space="preserve"> PAGEREF _Toc40899001 \h </w:instrText>
            </w:r>
            <w:r>
              <w:rPr>
                <w:noProof/>
                <w:webHidden/>
              </w:rPr>
            </w:r>
            <w:r>
              <w:rPr>
                <w:noProof/>
                <w:webHidden/>
              </w:rPr>
              <w:fldChar w:fldCharType="separate"/>
            </w:r>
            <w:r>
              <w:rPr>
                <w:noProof/>
                <w:webHidden/>
              </w:rPr>
              <w:t>vii</w:t>
            </w:r>
            <w:r>
              <w:rPr>
                <w:noProof/>
                <w:webHidden/>
              </w:rPr>
              <w:fldChar w:fldCharType="end"/>
            </w:r>
          </w:hyperlink>
        </w:p>
        <w:p w:rsidR="00650207" w:rsidRDefault="00650207">
          <w:pPr>
            <w:pStyle w:val="TOC1"/>
            <w:tabs>
              <w:tab w:val="right" w:leader="dot" w:pos="8211"/>
            </w:tabs>
            <w:rPr>
              <w:rFonts w:asciiTheme="minorHAnsi" w:eastAsiaTheme="minorEastAsia" w:hAnsiTheme="minorHAnsi" w:cstheme="minorBidi"/>
              <w:noProof/>
              <w:color w:val="auto"/>
            </w:rPr>
          </w:pPr>
          <w:hyperlink w:anchor="_Toc40899002" w:history="1">
            <w:r w:rsidRPr="006A17B9">
              <w:rPr>
                <w:rStyle w:val="Hyperlink"/>
                <w:noProof/>
              </w:rPr>
              <w:t>Abbreviations</w:t>
            </w:r>
            <w:r>
              <w:rPr>
                <w:noProof/>
                <w:webHidden/>
              </w:rPr>
              <w:tab/>
            </w:r>
            <w:r>
              <w:rPr>
                <w:noProof/>
                <w:webHidden/>
              </w:rPr>
              <w:fldChar w:fldCharType="begin"/>
            </w:r>
            <w:r>
              <w:rPr>
                <w:noProof/>
                <w:webHidden/>
              </w:rPr>
              <w:instrText xml:space="preserve"> PAGEREF _Toc40899002 \h </w:instrText>
            </w:r>
            <w:r>
              <w:rPr>
                <w:noProof/>
                <w:webHidden/>
              </w:rPr>
            </w:r>
            <w:r>
              <w:rPr>
                <w:noProof/>
                <w:webHidden/>
              </w:rPr>
              <w:fldChar w:fldCharType="separate"/>
            </w:r>
            <w:r>
              <w:rPr>
                <w:noProof/>
                <w:webHidden/>
              </w:rPr>
              <w:t>viii</w:t>
            </w:r>
            <w:r>
              <w:rPr>
                <w:noProof/>
                <w:webHidden/>
              </w:rPr>
              <w:fldChar w:fldCharType="end"/>
            </w:r>
          </w:hyperlink>
        </w:p>
        <w:p w:rsidR="00650207" w:rsidRDefault="00650207" w:rsidP="00650207">
          <w:pPr>
            <w:pStyle w:val="TOC2"/>
            <w:rPr>
              <w:rFonts w:asciiTheme="minorHAnsi" w:eastAsiaTheme="minorEastAsia" w:hAnsiTheme="minorHAnsi" w:cstheme="minorBidi"/>
              <w:noProof/>
              <w:color w:val="auto"/>
              <w:sz w:val="22"/>
            </w:rPr>
          </w:pPr>
          <w:hyperlink w:anchor="_Toc40899003" w:history="1">
            <w:r w:rsidRPr="006A17B9">
              <w:rPr>
                <w:highlight w:val="red"/>
                <w:rStyle w:val="Hyperlink"/>
                <w:noProof/>
              </w:rPr>
              <w:t>First Chapter - probably “Introduction”</w:t>
            </w:r>
            <w:r>
              <w:rPr>
                <w:noProof/>
                <w:webHidden/>
              </w:rPr>
              <w:tab/>
            </w:r>
            <w:r>
              <w:rPr>
                <w:noProof/>
                <w:webHidden/>
              </w:rPr>
              <w:fldChar w:fldCharType="begin"/>
            </w:r>
            <w:r>
              <w:rPr>
                <w:noProof/>
                <w:webHidden/>
              </w:rPr>
              <w:instrText xml:space="preserve"> PAGEREF _Toc40899003 \h </w:instrText>
            </w:r>
            <w:r>
              <w:rPr>
                <w:noProof/>
                <w:webHidden/>
              </w:rPr>
            </w:r>
            <w:r>
              <w:rPr>
                <w:noProof/>
                <w:webHidden/>
              </w:rPr>
              <w:fldChar w:fldCharType="separate"/>
            </w:r>
            <w:r>
              <w:rPr>
                <w:noProof/>
                <w:webHidden/>
              </w:rPr>
              <w:t>9</w:t>
            </w:r>
            <w:r>
              <w:rPr>
                <w:noProof/>
                <w:webHidden/>
              </w:rPr>
              <w:fldChar w:fldCharType="end"/>
            </w:r>
          </w:hyperlink>
        </w:p>
        <w:p w:rsidR="00650207" w:rsidRDefault="00650207">
          <w:pPr>
            <w:pStyle w:val="TOC3"/>
            <w:tabs>
              <w:tab w:val="left" w:pos="1100"/>
              <w:tab w:val="right" w:leader="dot" w:pos="8211"/>
            </w:tabs>
            <w:rPr>
              <w:rFonts w:asciiTheme="minorHAnsi" w:eastAsiaTheme="minorEastAsia" w:hAnsiTheme="minorHAnsi" w:cstheme="minorBidi"/>
              <w:noProof/>
              <w:color w:val="auto"/>
              <w:sz w:val="22"/>
            </w:rPr>
          </w:pPr>
          <w:hyperlink w:anchor="_Toc40899004" w:history="1">
            <w:r w:rsidRPr="006A17B9">
              <w:rPr>
                <w:rStyle w:val="Hyperlink"/>
                <w:noProof/>
              </w:rPr>
              <w:t>1.1</w:t>
            </w:r>
            <w:r>
              <w:rPr>
                <w:rFonts w:asciiTheme="minorHAnsi" w:eastAsiaTheme="minorEastAsia" w:hAnsiTheme="minorHAnsi" w:cstheme="minorBidi"/>
                <w:noProof/>
                <w:color w:val="auto"/>
                <w:sz w:val="22"/>
              </w:rPr>
              <w:tab/>
            </w:r>
            <w:r w:rsidRPr="006A17B9">
              <w:rPr>
                <w:rStyle w:val="Hyperlink"/>
                <w:noProof/>
              </w:rPr>
              <w:t>Referencing</w:t>
            </w:r>
            <w:r>
              <w:rPr>
                <w:noProof/>
                <w:webHidden/>
              </w:rPr>
              <w:tab/>
            </w:r>
            <w:r>
              <w:rPr>
                <w:noProof/>
                <w:webHidden/>
              </w:rPr>
              <w:fldChar w:fldCharType="begin"/>
            </w:r>
            <w:r>
              <w:rPr>
                <w:noProof/>
                <w:webHidden/>
              </w:rPr>
              <w:instrText xml:space="preserve"> PAGEREF _Toc40899004 \h </w:instrText>
            </w:r>
            <w:r>
              <w:rPr>
                <w:noProof/>
                <w:webHidden/>
              </w:rPr>
            </w:r>
            <w:r>
              <w:rPr>
                <w:noProof/>
                <w:webHidden/>
              </w:rPr>
              <w:fldChar w:fldCharType="separate"/>
            </w:r>
            <w:r>
              <w:rPr>
                <w:noProof/>
                <w:webHidden/>
              </w:rPr>
              <w:t>9</w:t>
            </w:r>
            <w:r>
              <w:rPr>
                <w:noProof/>
                <w:webHidden/>
              </w:rPr>
              <w:fldChar w:fldCharType="end"/>
            </w:r>
          </w:hyperlink>
        </w:p>
        <w:p w:rsidR="00650207" w:rsidRDefault="00650207">
          <w:pPr>
            <w:pStyle w:val="TOC3"/>
            <w:tabs>
              <w:tab w:val="left" w:pos="1100"/>
              <w:tab w:val="right" w:leader="dot" w:pos="8211"/>
            </w:tabs>
            <w:rPr>
              <w:rFonts w:asciiTheme="minorHAnsi" w:eastAsiaTheme="minorEastAsia" w:hAnsiTheme="minorHAnsi" w:cstheme="minorBidi"/>
              <w:noProof/>
              <w:color w:val="auto"/>
              <w:sz w:val="22"/>
            </w:rPr>
          </w:pPr>
          <w:hyperlink w:anchor="_Toc40899005" w:history="1">
            <w:r w:rsidRPr="006A17B9">
              <w:rPr>
                <w:rStyle w:val="Hyperlink"/>
                <w:noProof/>
              </w:rPr>
              <w:t>1.3</w:t>
            </w:r>
            <w:r>
              <w:rPr>
                <w:rFonts w:asciiTheme="minorHAnsi" w:eastAsiaTheme="minorEastAsia" w:hAnsiTheme="minorHAnsi" w:cstheme="minorBidi"/>
                <w:noProof/>
                <w:color w:val="auto"/>
                <w:sz w:val="22"/>
              </w:rPr>
              <w:tab/>
            </w:r>
            <w:r w:rsidRPr="006A17B9">
              <w:rPr>
                <w:rStyle w:val="Hyperlink"/>
                <w:noProof/>
              </w:rPr>
              <w:t>Equations</w:t>
            </w:r>
            <w:r>
              <w:rPr>
                <w:noProof/>
                <w:webHidden/>
              </w:rPr>
              <w:tab/>
            </w:r>
            <w:r>
              <w:rPr>
                <w:noProof/>
                <w:webHidden/>
              </w:rPr>
              <w:fldChar w:fldCharType="begin"/>
            </w:r>
            <w:r>
              <w:rPr>
                <w:noProof/>
                <w:webHidden/>
              </w:rPr>
              <w:instrText xml:space="preserve"> PAGEREF _Toc40899005 \h </w:instrText>
            </w:r>
            <w:r>
              <w:rPr>
                <w:noProof/>
                <w:webHidden/>
              </w:rPr>
            </w:r>
            <w:r>
              <w:rPr>
                <w:noProof/>
                <w:webHidden/>
              </w:rPr>
              <w:fldChar w:fldCharType="separate"/>
            </w:r>
            <w:r>
              <w:rPr>
                <w:noProof/>
                <w:webHidden/>
              </w:rPr>
              <w:t>10</w:t>
            </w:r>
            <w:r>
              <w:rPr>
                <w:noProof/>
                <w:webHidden/>
              </w:rPr>
              <w:fldChar w:fldCharType="end"/>
            </w:r>
          </w:hyperlink>
        </w:p>
        <w:p w:rsidR="00650207" w:rsidRDefault="00650207" w:rsidP="00650207">
          <w:pPr>
            <w:pStyle w:val="TOC2"/>
            <w:rPr>
              <w:rFonts w:asciiTheme="minorHAnsi" w:eastAsiaTheme="minorEastAsia" w:hAnsiTheme="minorHAnsi" w:cstheme="minorBidi"/>
              <w:noProof/>
              <w:color w:val="auto"/>
              <w:sz w:val="22"/>
            </w:rPr>
          </w:pPr>
          <w:hyperlink w:anchor="_Toc40899006" w:history="1">
            <w:r w:rsidRPr="006A17B9">
              <w:rPr>
                <w:highlight w:val="red"/>
                <w:rStyle w:val="Hyperlink"/>
                <w:noProof/>
              </w:rPr>
              <w:t>Second Chapter - probably “Back</w:t>
            </w:r>
            <w:bookmarkStart w:id="0" w:name="_GoBack"/>
            <w:bookmarkEnd w:id="0"/>
            <w:r w:rsidRPr="006A17B9">
              <w:rPr>
                <w:rStyle w:val="Hyperlink"/>
                <w:noProof/>
              </w:rPr>
              <w:t>ground”</w:t>
            </w:r>
            <w:r>
              <w:rPr>
                <w:noProof/>
                <w:webHidden/>
              </w:rPr>
              <w:tab/>
            </w:r>
            <w:r>
              <w:rPr>
                <w:noProof/>
                <w:webHidden/>
              </w:rPr>
              <w:fldChar w:fldCharType="begin"/>
            </w:r>
            <w:r>
              <w:rPr>
                <w:noProof/>
                <w:webHidden/>
              </w:rPr>
              <w:instrText xml:space="preserve"> PAGEREF _Toc40899006 \h </w:instrText>
            </w:r>
            <w:r>
              <w:rPr>
                <w:noProof/>
                <w:webHidden/>
              </w:rPr>
            </w:r>
            <w:r>
              <w:rPr>
                <w:noProof/>
                <w:webHidden/>
              </w:rPr>
              <w:fldChar w:fldCharType="separate"/>
            </w:r>
            <w:r>
              <w:rPr>
                <w:noProof/>
                <w:webHidden/>
              </w:rPr>
              <w:t>4</w:t>
            </w:r>
            <w:r>
              <w:rPr>
                <w:noProof/>
                <w:webHidden/>
              </w:rPr>
              <w:fldChar w:fldCharType="end"/>
            </w:r>
          </w:hyperlink>
        </w:p>
        <w:p w:rsidR="00650207" w:rsidRDefault="00650207" w:rsidP="00650207">
          <w:pPr>
            <w:pStyle w:val="TOC2"/>
            <w:rPr>
              <w:rFonts w:asciiTheme="minorHAnsi" w:eastAsiaTheme="minorEastAsia" w:hAnsiTheme="minorHAnsi" w:cstheme="minorBidi"/>
              <w:noProof/>
              <w:color w:val="auto"/>
              <w:sz w:val="22"/>
            </w:rPr>
          </w:pPr>
          <w:hyperlink w:anchor="_Toc40899007" w:history="1">
            <w:r w:rsidRPr="006A17B9">
              <w:rPr>
                <w:rStyle w:val="Hyperlink"/>
                <w:noProof/>
              </w:rPr>
              <w:t>References</w:t>
            </w:r>
            <w:r>
              <w:rPr>
                <w:noProof/>
                <w:webHidden/>
              </w:rPr>
              <w:tab/>
            </w:r>
            <w:r>
              <w:rPr>
                <w:noProof/>
                <w:webHidden/>
              </w:rPr>
              <w:fldChar w:fldCharType="begin"/>
            </w:r>
            <w:r>
              <w:rPr>
                <w:noProof/>
                <w:webHidden/>
              </w:rPr>
              <w:instrText xml:space="preserve"> PAGEREF _Toc40899007 \h </w:instrText>
            </w:r>
            <w:r>
              <w:rPr>
                <w:noProof/>
                <w:webHidden/>
              </w:rPr>
            </w:r>
            <w:r>
              <w:rPr>
                <w:noProof/>
                <w:webHidden/>
              </w:rPr>
              <w:fldChar w:fldCharType="separate"/>
            </w:r>
            <w:r>
              <w:rPr>
                <w:noProof/>
                <w:webHidden/>
              </w:rPr>
              <w:t>5</w:t>
            </w:r>
            <w:r>
              <w:rPr>
                <w:noProof/>
                <w:webHidden/>
              </w:rPr>
              <w:fldChar w:fldCharType="end"/>
            </w:r>
          </w:hyperlink>
        </w:p>
        <w:p w:rsidR="00650207" w:rsidRDefault="00650207" w:rsidP="00650207">
          <w:pPr>
            <w:pStyle w:val="TOC2"/>
            <w:rPr>
              <w:rFonts w:asciiTheme="minorHAnsi" w:eastAsiaTheme="minorEastAsia" w:hAnsiTheme="minorHAnsi" w:cstheme="minorBidi"/>
              <w:noProof/>
              <w:color w:val="auto"/>
              <w:sz w:val="22"/>
            </w:rPr>
          </w:pPr>
          <w:hyperlink w:anchor="_Toc40899008" w:history="1">
            <w:r w:rsidRPr="006A17B9">
              <w:rPr>
                <w:highlight w:val="red"/>
                <w:rStyle w:val="Hyperlink"/>
                <w:noProof/>
              </w:rPr>
              <w:t>The second appendix</w:t>
            </w:r>
            <w:r>
              <w:rPr>
                <w:noProof/>
                <w:webHidden/>
              </w:rPr>
              <w:tab/>
            </w:r>
            <w:r>
              <w:rPr>
                <w:noProof/>
                <w:webHidden/>
              </w:rPr>
              <w:fldChar w:fldCharType="begin"/>
            </w:r>
            <w:r>
              <w:rPr>
                <w:noProof/>
                <w:webHidden/>
              </w:rPr>
              <w:instrText xml:space="preserve"> PAGEREF _Toc40899008 \h </w:instrText>
            </w:r>
            <w:r>
              <w:rPr>
                <w:noProof/>
                <w:webHidden/>
              </w:rPr>
            </w:r>
            <w:r>
              <w:rPr>
                <w:noProof/>
                <w:webHidden/>
              </w:rPr>
              <w:fldChar w:fldCharType="separate"/>
            </w:r>
            <w:r>
              <w:rPr>
                <w:noProof/>
                <w:webHidden/>
              </w:rPr>
              <w:t>7</w:t>
            </w:r>
            <w:r>
              <w:rPr>
                <w:noProof/>
                <w:webHidden/>
              </w:rPr>
              <w:fldChar w:fldCharType="end"/>
            </w:r>
          </w:hyperlink>
        </w:p>
        <w:p w:rsidR="00650207" w:rsidRDefault="00650207">
          <w:r>
            <w:rPr>
              <w:b/>
              <w:bCs/>
              <w:noProof/>
            </w:rPr>
            <w:fldChar w:fldCharType="end"/>
          </w:r>
        </w:p>
      </w:sdtContent>
    </w:sdt>
    <w:p w:rsidR="00403E85" w:rsidRDefault="00403E85">
      <w:pPr>
        <w:spacing w:after="160" w:line="259" w:lineRule="auto"/>
        <w:ind w:left="0" w:firstLine="0"/>
        <w:jc w:val="left"/>
      </w:pPr>
      <w:r>
        <w:br w:type="page"/>
      </w:r>
    </w:p>
    <w:p w:rsidR="00403E85" w:rsidRDefault="00403E85" w:rsidP="00403E85">
      <w:pPr>
        <w:spacing w:after="160" w:line="259" w:lineRule="auto"/>
        <w:ind w:left="359" w:firstLine="0"/>
        <w:jc w:val="left"/>
      </w:pPr>
    </w:p>
    <w:p w:rsidR="008C4E90" w:rsidRDefault="007C7861">
      <w:pPr>
        <w:spacing w:after="523" w:line="265" w:lineRule="auto"/>
        <w:ind w:left="-5"/>
        <w:jc w:val="left"/>
      </w:pPr>
      <w:r>
        <w:rPr>
          <w:sz w:val="50"/>
        </w:rPr>
        <w:t xml:space="preserve">List of </w:t>
      </w:r>
      <w:r>
        <w:rPr>
          <w:sz w:val="50"/>
        </w:rPr>
        <w:t>Tables</w:t>
      </w:r>
    </w:p>
    <w:p w:rsidR="008C4E90" w:rsidRDefault="007C7861" w:rsidP="00403E85">
      <w:pPr>
        <w:tabs>
          <w:tab w:val="center" w:pos="508"/>
          <w:tab w:val="center" w:pos="4280"/>
          <w:tab w:val="right" w:pos="8220"/>
        </w:tabs>
        <w:spacing w:after="83" w:line="259" w:lineRule="auto"/>
        <w:ind w:left="0" w:right="-15" w:firstLine="0"/>
        <w:jc w:val="left"/>
      </w:pPr>
      <w:r>
        <w:rPr>
          <w:sz w:val="22"/>
        </w:rPr>
        <w:tab/>
      </w:r>
      <w:r>
        <w:t>1.1</w:t>
      </w:r>
      <w:r>
        <w:tab/>
      </w:r>
      <w:r>
        <w:rPr>
          <w:highlight w:val="red"/>
        </w:rPr>
        <w:t>Quality measurements used by CQA . . . . . . . . . . . . . . . . . .</w:t>
      </w:r>
      <w:r>
        <w:tab/>
      </w:r>
      <w:proofErr w:type="gramStart"/>
      <w:r>
        <w:t>2</w:t>
      </w:r>
      <w:proofErr w:type="gramEnd"/>
      <w:r>
        <w:br w:type="page"/>
      </w:r>
      <w:r>
        <w:rPr>
          <w:sz w:val="50"/>
        </w:rPr>
        <w:lastRenderedPageBreak/>
        <w:t>L</w:t>
      </w:r>
      <w:r>
        <w:rPr>
          <w:sz w:val="50"/>
        </w:rPr>
        <w:t>ist of Figures</w:t>
      </w:r>
    </w:p>
    <w:p w:rsidR="008C4E90" w:rsidRDefault="007C7861">
      <w:pPr>
        <w:tabs>
          <w:tab w:val="center" w:pos="508"/>
          <w:tab w:val="center" w:pos="4280"/>
          <w:tab w:val="right" w:pos="8220"/>
        </w:tabs>
        <w:spacing w:after="83" w:line="259" w:lineRule="auto"/>
        <w:ind w:left="0" w:right="-15" w:firstLine="0"/>
        <w:jc w:val="left"/>
      </w:pPr>
      <w:r>
        <w:rPr>
          <w:sz w:val="22"/>
        </w:rPr>
        <w:tab/>
      </w:r>
      <w:r>
        <w:t>1.1</w:t>
      </w:r>
      <w:r>
        <w:rPr>
          <w:highlight w:val="red"/>
        </w:rPr>
        <w:tab/>
        <w:t>Transform coding. . . . . . . . . . . . . . . . . . . . . . . . . . . . .</w:t>
      </w:r>
      <w:r>
        <w:tab/>
        <w:t>2</w:t>
      </w:r>
      <w:r>
        <w:br w:type="page"/>
      </w:r>
    </w:p>
    <w:p w:rsidR="008C4E90" w:rsidRDefault="007C7861">
      <w:pPr>
        <w:pStyle w:val="Heading1"/>
        <w:ind w:left="-5"/>
      </w:pPr>
      <w:bookmarkStart w:id="1" w:name="_Toc40898999"/>
      <w:r>
        <w:lastRenderedPageBreak/>
        <w:t>Abstract</w:t>
      </w:r>
      <w:bookmarkEnd w:id="1"/>
    </w:p>
    <w:p w:rsidR="008C4E90" w:rsidRDefault="007C7861">
      <w:pPr>
        <w:ind w:left="-5" w:right="14"/>
      </w:pPr>
      <w:r>
        <w:rPr>
          <w:highlight w:val="red"/>
        </w:rPr>
        <w:t>The abstract is a formal description of the reason for doing this</w:t>
      </w:r>
      <w:r>
        <w:t xml:space="preserve"> work, the methods used and results found, and the conclusions drawn. It should not be more than one page in length.</w:t>
      </w:r>
      <w:r>
        <w:br w:type="page"/>
      </w:r>
    </w:p>
    <w:p w:rsidR="008C4E90" w:rsidRDefault="007C7861">
      <w:pPr>
        <w:pStyle w:val="Heading1"/>
        <w:spacing w:after="321"/>
        <w:ind w:left="-5"/>
      </w:pPr>
      <w:bookmarkStart w:id="2" w:name="_Toc40899000"/>
      <w:r>
        <w:lastRenderedPageBreak/>
        <w:t>Declaration</w:t>
      </w:r>
      <w:bookmarkEnd w:id="2"/>
    </w:p>
    <w:p w:rsidR="008C4E90" w:rsidRDefault="007C7861">
      <w:pPr>
        <w:spacing w:after="1695"/>
        <w:ind w:left="1240" w:right="1230"/>
      </w:pPr>
      <w:r>
        <w:t xml:space="preserve">No part of this project </w:t>
      </w:r>
      <w:proofErr w:type="gramStart"/>
      <w:r>
        <w:t>has been submitted</w:t>
      </w:r>
      <w:proofErr w:type="gramEnd"/>
      <w:r>
        <w:t xml:space="preserve"> in support of an application for any other degree or qualification at this or any other institute of learning. Apart from those parts of the project containing citations to the work of others, this project is my o</w:t>
      </w:r>
      <w:r>
        <w:t xml:space="preserve">wn unaided work. This work </w:t>
      </w:r>
      <w:proofErr w:type="gramStart"/>
      <w:r>
        <w:t>has been carried out</w:t>
      </w:r>
      <w:proofErr w:type="gramEnd"/>
      <w:r>
        <w:t xml:space="preserve"> in accordance with the Manchester Metropolitan University research ethics procedures, and has received ethical approval number Your </w:t>
      </w:r>
      <w:proofErr w:type="spellStart"/>
      <w:r>
        <w:t>EthOS</w:t>
      </w:r>
      <w:proofErr w:type="spellEnd"/>
      <w:r>
        <w:t xml:space="preserve"> Number.</w:t>
      </w:r>
    </w:p>
    <w:p w:rsidR="008C4E90" w:rsidRDefault="007C7861">
      <w:pPr>
        <w:spacing w:after="1136"/>
        <w:ind w:left="1240" w:right="14"/>
      </w:pPr>
      <w:r>
        <w:t>Signed:</w:t>
      </w:r>
    </w:p>
    <w:p w:rsidR="008C4E90" w:rsidRDefault="007C7861">
      <w:pPr>
        <w:ind w:left="1240" w:right="14"/>
      </w:pPr>
      <w:r>
        <w:t>Date:</w:t>
      </w:r>
    </w:p>
    <w:p w:rsidR="00403E85" w:rsidRDefault="00403E85">
      <w:pPr>
        <w:spacing w:after="160" w:line="259" w:lineRule="auto"/>
        <w:ind w:left="0" w:firstLine="0"/>
        <w:jc w:val="left"/>
        <w:rPr>
          <w:sz w:val="50"/>
        </w:rPr>
      </w:pPr>
      <w:r>
        <w:br w:type="page"/>
      </w:r>
    </w:p>
    <w:p w:rsidR="008C4E90" w:rsidRDefault="007C7861">
      <w:pPr>
        <w:pStyle w:val="Heading1"/>
        <w:ind w:left="-5"/>
      </w:pPr>
      <w:bookmarkStart w:id="3" w:name="_Toc40899001"/>
      <w:r>
        <w:lastRenderedPageBreak/>
        <w:t>Acknowledgements</w:t>
      </w:r>
      <w:bookmarkEnd w:id="3"/>
    </w:p>
    <w:p w:rsidR="008C4E90" w:rsidRDefault="007C7861">
      <w:pPr>
        <w:ind w:left="-5" w:right="14"/>
      </w:pPr>
      <w:r>
        <w:t xml:space="preserve">The acknowledgements thank the </w:t>
      </w:r>
      <w:r>
        <w:t xml:space="preserve">people who helped you do the work. </w:t>
      </w:r>
      <w:proofErr w:type="gramStart"/>
      <w:r>
        <w:t>It’s</w:t>
      </w:r>
      <w:proofErr w:type="gramEnd"/>
      <w:r>
        <w:t xml:space="preserve"> traditional to include your supervisor....</w:t>
      </w:r>
      <w:r>
        <w:br w:type="page"/>
      </w:r>
    </w:p>
    <w:p w:rsidR="008C4E90" w:rsidRDefault="007C7861">
      <w:pPr>
        <w:pStyle w:val="Heading1"/>
        <w:spacing w:after="661"/>
        <w:ind w:left="-5"/>
      </w:pPr>
      <w:bookmarkStart w:id="4" w:name="_Toc40899002"/>
      <w:r>
        <w:lastRenderedPageBreak/>
        <w:t>Abbreviations</w:t>
      </w:r>
      <w:bookmarkEnd w:id="4"/>
    </w:p>
    <w:p w:rsidR="008C4E90" w:rsidRDefault="007C7861">
      <w:pPr>
        <w:tabs>
          <w:tab w:val="center" w:pos="2006"/>
          <w:tab w:val="center" w:pos="3992"/>
        </w:tabs>
        <w:spacing w:after="83" w:line="259" w:lineRule="auto"/>
        <w:ind w:left="0" w:firstLine="0"/>
        <w:jc w:val="left"/>
      </w:pPr>
      <w:r>
        <w:rPr>
          <w:sz w:val="22"/>
        </w:rPr>
        <w:tab/>
      </w:r>
      <w:r>
        <w:t>PCA</w:t>
      </w:r>
      <w:r>
        <w:rPr>
          <w:highlight w:val="red"/>
        </w:rPr>
        <w:tab/>
        <w:t>Principal Components Analysis</w:t>
      </w:r>
    </w:p>
    <w:p w:rsidR="008C4E90" w:rsidRDefault="007C7861">
      <w:pPr>
        <w:tabs>
          <w:tab w:val="center" w:pos="1984"/>
          <w:tab w:val="center" w:pos="3552"/>
        </w:tabs>
        <w:ind w:left="0" w:firstLine="0"/>
        <w:jc w:val="left"/>
      </w:pPr>
      <w:r>
        <w:rPr>
          <w:sz w:val="22"/>
        </w:rPr>
        <w:tab/>
      </w:r>
      <w:r>
        <w:t>LTA</w:t>
      </w:r>
      <w:r>
        <w:tab/>
      </w:r>
      <w:proofErr w:type="gramStart"/>
      <w:r>
        <w:t>Three Letter</w:t>
      </w:r>
      <w:proofErr w:type="gramEnd"/>
      <w:r>
        <w:t xml:space="preserve"> Acronym</w:t>
      </w:r>
    </w:p>
    <w:p w:rsidR="008C4E90" w:rsidRDefault="008C4E90">
      <w:pPr>
        <w:sectPr w:rsidR="008C4E90">
          <w:footerReference w:type="even" r:id="rId8"/>
          <w:footerReference w:type="default" r:id="rId9"/>
          <w:footerReference w:type="first" r:id="rId10"/>
          <w:pgSz w:w="11906" w:h="16838"/>
          <w:pgMar w:top="3881" w:right="1395" w:bottom="2820" w:left="2290" w:header="720" w:footer="720" w:gutter="0"/>
          <w:pgNumType w:fmt="lowerRoman"/>
          <w:cols w:space="720"/>
          <w:titlePg/>
        </w:sectPr>
      </w:pPr>
    </w:p>
    <w:p>
      <w:pPr>
        <w:pStyle w:val="Heading2"/>
      </w:pPr>
      <w:r>
        <w:t xml:space="preserve">Introduction</w:t>
      </w:r>
    </w:p>
    <w:p>
      <w:pPr/>
      <w:r>
        <w:t xml:space="preserve">This chapter states the problem, identifies the gap in existing work that motivates the project, sets out the aims and objectives against which the work is assessed, and describes the structure of the remainder of the report.</w:t>
      </w:r>
    </w:p>
    <w:p>
      <w:pPr>
        <w:pStyle w:val="Heading3"/>
      </w:pPr>
      <w:r>
        <w:t xml:space="preserve">Background</w:t>
      </w:r>
    </w:p>
    <w:p>
      <w:pPr/>
      <w:r>
        <w:t xml:space="preserve">Network intrusion detection systems classify traffic as benign or as belonging to a class of attack. How well they work depends on the breadth of attack traffic they have been trained on, which creates a difficulty: an organisation would benefit from learning from attacks other organisations have seen, but network traffic is among the most sensitive data it holds. Flow records reveal internal addressing, service topology, user behaviour, and the fact of a compromise when one has occurred.</w:t>
      </w:r>
    </w:p>
    <w:p>
      <w:pPr/>
      <w:r>
        <w:t xml:space="preserve">Federated learning (McMahan et al., 2017) offers a way around this. Each participant trains on its own records and transmits only model updates, which a server averages into a shared model. No raw traffic leaves the participant.</w:t>
      </w:r>
    </w:p>
    <w:p>
      <w:pPr/>
      <w:r>
        <w:t xml:space="preserve">The difficulty is that averaging works well when participants hold similar data and poorly when they do not. An organisation running web services sees different attacks from one running industrial control systems. Under this kind of statistical heterogeneity a single averaged model fits nobody well, an effect documented across the federated learning literature and particularly sharp in intrusion detection, where attack classes are rare, unevenly distributed, and specific to the environment that produced them.</w:t>
      </w:r>
    </w:p>
    <w:p>
      <w:pPr/>
      <w:r>
        <w:t xml:space="preserve">Personalised federated learning addresses this by giving each participant a model of its own while still sharing what can be shared. Multi-tier variants go further and introduce an intermediate level between the device and the server, on the argument that participants fall into groups and that a group-level model captures what its members have in common without forcing agreement across groups that have little to share.</w:t>
      </w:r>
    </w:p>
    <w:p>
      <w:pPr>
        <w:pStyle w:val="Heading3"/>
      </w:pPr>
      <w:r>
        <w:t xml:space="preserve">The base method</w:t>
      </w:r>
    </w:p>
    <w:p>
      <w:pPr/>
      <w:r>
        <w:rPr>
          <w:highlight w:val="yellow"/>
        </w:rPr>
        <w:t xml:space="preserve">This project takes PerMFL (Bhuyan et al., 2024) as its base. PerMFL is a three-tier personalised federated learning method with a device model, a team model, and a global model, coupled by squared Euclidean penalties. It provides convergence guarantees, linear for smooth strongly convex problems and sub-linear for smooth non-convex ones, and its authors published an implementation together with seven baseline algorithms.</w:t>
      </w:r>
    </w:p>
    <w:p>
      <w:pPr/>
      <w:r>
        <w:t xml:space="preserve">Three properties made it the right base. It is reproducible, which most of the adjacent literature is not. It carries a convergence proof, which the clustered federated learning methods it competes with do not. And its stated premise, that it applies "when there are known team structures across devices", maps onto intrusion detection, where attack families and network segments provide exactly that kind of structure.</w:t>
      </w:r>
    </w:p>
    <w:p>
      <w:pPr>
        <w:pStyle w:val="Heading3"/>
      </w:pPr>
      <w:r>
        <w:t xml:space="preserve">Problem statement</w:t>
      </w:r>
    </w:p>
    <w:p>
      <w:pPr/>
      <w:r>
        <w:t xml:space="preserve">PerMFL has been evaluated only on image benchmarks and a synthetic tabular dataset. Intrusion detection data differs from those in ways that bear directly on the method's assumptions. Classes are severely imbalanced, with benign traffic accounting for over eighty per cent of the CICIDS2017 capture. Several attack classes have double-digit sample counts against millions of benign flows. Traffic arrives in time order and attacks occur in contiguous bursts, so the split between training and evaluation data is a methodological decision rather than a formality. None of these conditions is present in MNIST.</w:t>
      </w:r>
    </w:p>
    <w:p>
      <w:pPr/>
      <w:r>
        <w:t xml:space="preserve">The project asks whether the method transfers, what has to change for it to transfer, and whether the architectural claim that motivates it holds on this kind of data.</w:t>
      </w:r>
    </w:p>
    <w:p>
      <w:pPr>
        <w:pStyle w:val="Heading3"/>
      </w:pPr>
      <w:r>
        <w:t xml:space="preserve">Aims and objectives</w:t>
      </w:r>
    </w:p>
    <w:p>
      <w:pPr/>
      <w:r>
        <w:t xml:space="preserve">The aim is to establish whether PerMFL is suitable for network intrusion detection and, where it is not, to identify why and what corrects it.</w:t>
      </w:r>
    </w:p>
    <w:p>
      <w:pPr>
        <w:pStyle w:val="ListParagraph"/>
        <w:numPr>
          <w:ilvl w:val="0"/>
          <w:numId w:val="2"/>
        </w:numPr>
      </w:pPr>
      <w:r>
        <w:t xml:space="preserve">Reproduce the published result on the authors' own dataset, to</w:t>
      </w:r>
    </w:p>
    <w:p>
      <w:pPr/>
      <w:r>
        <w:t xml:space="preserve">establish that the implementation under test behaves as the paper         describes.</w:t>
      </w:r>
    </w:p>
    <w:p>
      <w:pPr>
        <w:pStyle w:val="ListParagraph"/>
        <w:numPr>
          <w:ilvl w:val="0"/>
          <w:numId w:val="2"/>
        </w:numPr>
      </w:pPr>
      <w:r>
        <w:t xml:space="preserve">Build a leakage-free data pipeline for CICIDS2017, NSL-KDD and</w:t>
      </w:r>
    </w:p>
    <w:p>
      <w:pPr/>
      <w:r>
        <w:t xml:space="preserve">TON-IoT, with a documented partitioning scheme and an evaluation         protocol appropriate to imbalanced multi-class detection.</w:t>
      </w:r>
    </w:p>
    <w:p>
      <w:pPr>
        <w:pStyle w:val="ListParagraph"/>
        <w:numPr>
          <w:ilvl w:val="0"/>
          <w:numId w:val="2"/>
        </w:numPr>
      </w:pPr>
      <w:r>
        <w:t xml:space="preserve">Measure the method under controlled variation of client heterogeneity,</w:t>
      </w:r>
    </w:p>
    <w:p>
      <w:pPr/>
      <w:r>
        <w:t xml:space="preserve">reporting each result against the floor a trivial classifier achieves         and the ceiling the same model reaches without federation.</w:t>
      </w:r>
    </w:p>
    <w:p>
      <w:pPr>
        <w:pStyle w:val="ListParagraph"/>
        <w:numPr>
          <w:ilvl w:val="0"/>
          <w:numId w:val="2"/>
        </w:numPr>
      </w:pPr>
      <w:r>
        <w:t xml:space="preserve">Test the architectural premise directly by varying the team structure</w:t>
      </w:r>
    </w:p>
    <w:p>
      <w:pPr/>
      <w:r>
        <w:t xml:space="preserve">the method is built around.</w:t>
      </w:r>
    </w:p>
    <w:p>
      <w:pPr>
        <w:pStyle w:val="ListParagraph"/>
        <w:numPr>
          <w:ilvl w:val="0"/>
          <w:numId w:val="2"/>
        </w:numPr>
      </w:pPr>
      <w:r>
        <w:t xml:space="preserve">Where the method underperforms, identify the mechanism and evaluate a</w:t>
      </w:r>
    </w:p>
    <w:p>
      <w:pPr/>
      <w:r>
        <w:t xml:space="preserve">correction.</w:t>
      </w:r>
    </w:p>
    <w:p>
      <w:pPr>
        <w:pStyle w:val="Heading3"/>
      </w:pPr>
      <w:r>
        <w:t xml:space="preserve">Contributions</w:t>
      </w:r>
    </w:p>
    <w:p>
      <w:pPr/>
      <w:r>
        <w:t xml:space="preserve">The work makes four contributions.</w:t>
      </w:r>
    </w:p>
    <w:p>
      <w:pPr/>
      <w:r>
        <w:t xml:space="preserve">An exact reproduction of the published EMNIST-10 result, matching the reported personalised accuracy to within 0.04 percentage points, together with sixteen documented defects in the released implementation. One of these, an argument binding error, silently overrides a tunable hyperparameter with an unrelated loop count.</w:t>
      </w:r>
    </w:p>
    <w:p>
      <w:pPr/>
      <w:r>
        <w:t xml:space="preserve">Evidence that the team tier, the architectural feature that distinguishes PerMFL from two-tier methods, contributes almost nothing within the parameter region its own convergence conditions permit. Removing the tier entirely changes personalised macro F1 by 0.0002 on CICIDS2017 and by 0.0000 on the authors' own EMNIST-10 setup.</w:t>
      </w:r>
    </w:p>
    <w:p>
      <w:pPr/>
      <w:r>
        <w:t xml:space="preserve">An explanation of why, derived from the update rule rather than inferred from results. A single parameter governs both the device-to-team penalty and the weight the team model places on its members, and the values these two roles require are opposed.</w:t>
      </w:r>
    </w:p>
    <w:p>
      <w:pPr/>
      <w:r>
        <w:t xml:space="preserve">A correction that separates them, evaluated across three datasets and four partitioning schemes with five paired random seeds. It improves the global model on three of four partitions and reduces its variance across seeds by two to three orders of magnitude in all four, with one regression that is reported rather than omitted.</w:t>
      </w:r>
    </w:p>
    <w:p>
      <w:pPr>
        <w:pStyle w:val="Heading3"/>
      </w:pPr>
      <w:r>
        <w:t xml:space="preserve">Report structure</w:t>
      </w:r>
    </w:p>
    <w:p>
      <w:pPr/>
      <w:r>
        <w:t xml:space="preserve">Chapter~(see above) reviews personalised and clustered federated learning, federated intrusion detection, and the data quality problems specific to CICIDS2017. Chapter~(see above) states the functional and non-functional requirements and the ethical and legal position. Chapter~(see above) describes the experimental design, the partitioning schemes and the evaluation protocol. Chapter~(see above) covers the data pipeline, the metric instrumentation and the modifications to the base implementation. Chapter~(see above) sets out how the pipeline was verified. Chapter~(see above) presents the results and evaluates them critically. Chapter~(see above) concludes and identifies further work.</w:t>
      </w:r>
    </w:p>
    <w:p>
      <w:r>
        <w:br w:type="page"/>
      </w:r>
    </w:p>
    <w:p>
      <w:pPr>
        <w:pStyle w:val="Heading2"/>
      </w:pPr>
      <w:r>
        <w:t xml:space="preserve">Literature Review</w:t>
      </w:r>
    </w:p>
    <w:p>
      <w:pPr/>
      <w:r>
        <w:t xml:space="preserve">This chapter reviews the work the project builds on. It covers personalised federated learning, clustered and multi-tier variants, applications to intrusion detection, and the data quality literature specific to CICIDS2017. The final section identifies the gap the project addresses.</w:t>
      </w:r>
    </w:p>
    <w:p>
      <w:pPr>
        <w:pStyle w:val="Heading3"/>
      </w:pPr>
      <w:r>
        <w:t xml:space="preserve">Federated learning under heterogeneity</w:t>
      </w:r>
    </w:p>
    <w:p>
      <w:pPr/>
      <w:r>
        <w:t xml:space="preserve">Federated averaging (McMahan et al., 2017) trains a single global model by averaging client updates. It assumes clients hold data drawn from a similar distribution. When they do not, the averaged model degrades, and the degradation is worse the more the client distributions differ.</w:t>
      </w:r>
    </w:p>
    <w:p>
      <w:pPr/>
      <w:r>
        <w:t xml:space="preserve">Two families of response exist. Personalised methods give each client its own model while sharing structure with the others. Clustered methods group clients by similarity and share within groups rather than globally.</w:t>
      </w:r>
    </w:p>
    <w:p>
      <w:pPr/>
      <w:r>
        <w:t xml:space="preserve">pFedMe (Dinh et al., 2020) takes the first route using Moreau envelopes. Each client solves a regularised local problem whose solution is pulled toward the global model by a penalty term, so the client model can specialise without drifting arbitrarily far. Ditto (Li et al., 2021) and Per-FedAvg (Fallah et al., 2020) pursue related ideas through different regularisation and meta-learning respectively.</w:t>
      </w:r>
    </w:p>
    <w:p>
      <w:pPr>
        <w:pStyle w:val="Heading3"/>
      </w:pPr>
      <w:r>
        <w:t xml:space="preserve">Clustered and multi-tier methods</w:t>
      </w:r>
    </w:p>
    <w:p>
      <w:pPr/>
      <w:r>
        <w:t xml:space="preserve">Clustered federated learning assumes clients fall into groups. Sattler et al. (Sattler et al., 2020) recursively bipartition clients by the cosine similarity of their updates, splitting a cluster when its members' gradients point in sufficiently different directions. The method splits but never merges or reassigns, which limits it when the grouping is initially wrong.</w:t>
      </w:r>
    </w:p>
    <w:p>
      <w:pPr/>
      <w:r>
        <w:t xml:space="preserve">FlexCFL (Duan et al., 2021) adds client migration between clusters to handle distribution shift, keeping the number of clusters fixed. FedDrift (Jothimurugesan et al., 2023) handles concept drift with both splits and merges. A recent survey (Cfl Survey 2025) organises these approaches and notes that basic clustered methods, limited to splitting, perform poorly under complex drift.</w:t>
      </w:r>
    </w:p>
    <w:p>
      <w:pPr/>
      <w:r>
        <w:t xml:space="preserve">HCFL+ </w:t>
      </w:r>
      <w:r>
        <w:rPr>
          <w:highlight w:val="red"/>
        </w:rPr>
        <w:t xml:space="preserve">[TO SUPPLY: authors for HCFL+ 2025, bib entry has no author field]</w:t>
      </w:r>
      <w:r>
        <w:t xml:space="preserve"> generalises clustered federated learning into a four-tier framework with dynamic re-clustering, unifying soft and hard clustering under a common objective.</w:t>
      </w:r>
    </w:p>
    <w:p>
      <w:pPr/>
      <w:r>
        <w:t xml:space="preserve">SCMoE-PFL (Li et al., 2026) combines soft clustering with a mixture-of-experts. Its multi-centre threshold clustering allows a client to belong to several clusters at once. Each cluster produces an expert model, each client separately trains a private model, and an energy-aware gating network fuses them. The clustering signal is the client gradient, L2-normalised to discard magnitude and projected by PCA before cosine similarity is taken, the projection being necessary because cosine similarity becomes uninformative in high dimensions.</w:t>
      </w:r>
    </w:p>
    <w:p>
      <w:pPr/>
      <w:r>
        <w:t xml:space="preserve">PerMFL (Bhuyan et al., 2024) differs from all of these in providing convergence guarantees. It also differs in assuming the grouping is given rather than derived. Its device update is</w:t>
      </w:r>
    </w:p>
    <w:p>
      <w:pPr>
        <w:jc w:val="center"/>
      </w:pPr>
      <w:r>
        <w:rPr>
          <w:i/>
        </w:rPr>
        <w:t xml:space="preserve">\theta_{i,j}^{t,k,l+1} = \theta_{i,j}^{t,k,l} - \alpha\nabla f_{i,j}(\theta_{i,j}^{t,k,l}) - \alpha\lambda\left(\theta_{i,j}^{t,k,l} - w_i^{t,k}\right),</w:t>
      </w:r>
    </w:p>
    <w:p>
      <w:pPr/>
      <w:r>
        <w:t xml:space="preserve">its team update</w:t>
      </w:r>
    </w:p>
    <w:p>
      <w:pPr>
        <w:jc w:val="center"/>
      </w:pPr>
      <w:r>
        <w:rPr>
          <w:i/>
        </w:rPr>
        <w:t xml:space="preserve">w_i^{t,k+1} = (1 - \eta\lambda - \eta\gamma)\,w_i^{t,k} + \eta\gamma x^t + \lambda\eta\,\bar{\theta}_i^{t,k},</w:t>
      </w:r>
    </w:p>
    <w:p>
      <w:pPr/>
      <w:r>
        <w:t xml:space="preserve">and its global update</w:t>
      </w:r>
    </w:p>
    <w:p>
      <w:pPr>
        <w:jc w:val="center"/>
      </w:pPr>
      <w:r>
        <w:rPr>
          <w:i/>
        </w:rPr>
        <w:t xml:space="preserve">x^{t+1} = (1 - \beta\gamma)x^t + \beta\gamma\bar{w}^t.</w:t>
      </w:r>
    </w:p>
    <w:p>
      <w:pPr/>
      <w:r>
        <w:t xml:space="preserve">The parameter $\lambda$ appears in both the equation above and the equation above. Section~(see above) returns to this.</w:t>
      </w:r>
    </w:p>
    <w:p>
      <w:pPr>
        <w:pStyle w:val="Heading3"/>
      </w:pPr>
      <w:r>
        <w:t xml:space="preserve">Federated learning for intrusion detection</w:t>
      </w:r>
    </w:p>
    <w:p>
      <w:pPr/>
      <w:r>
        <w:t xml:space="preserve">CFMD-i (Zhang et al., 2026) applies clustered federated learning to intrusion detection across five datasets including CICIDS2017. It clusters by model discrepancy, switching between a parameter-space measure and an output-space Kullback-Leibler divergence according to a threshold that adapts to the current spread of pairwise similarities. Clustering is triggered adaptively rather than at a fixed round, on two conditions: the maximum inter-client model difference must exceed a threshold, indicating enough heterogeneity to distinguish groups, while the mean difference must stay below another, indicating shared structure remains. Its contribution is communication efficiency, reporting a reduction of over ninety-five per cent through parameter-difference transmission, adaptive leapfrog communication and quantised error feedback.</w:t>
      </w:r>
    </w:p>
    <w:p>
      <w:pPr/>
      <w:r>
        <w:t xml:space="preserve">Its client construction is relevant here. CFMD-i partitions traffic into attack domains and assigns each participant one domain in its first scenario and several in its second, so group structure exists by construction rather than being imposed by a random draw.</w:t>
      </w:r>
    </w:p>
    <w:p>
      <w:pPr/>
      <w:r>
        <w:t xml:space="preserve">ClusterFed (Irtiza et al., 2025) uses self-supervised clustering with balanced assignment via Sinkhorn-Knopp, which prevents cluster collapse. It partitions clients by Dirichlet sampling at $\alpha = 0.1$.</w:t>
      </w:r>
    </w:p>
    <w:p>
      <w:pPr/>
      <w:r>
        <w:t xml:space="preserve">Stones From Other Hills (Lu et al., 2025) studies self-labelled personalised federated learning for IoT intrusion detection. Two aspects matter for this project. It sweeps the degree of label skew, reporting FedAvg, a local baseline and its own method at each level, and identifies an intermediate setting as the usable balance: too much class overlap leaves nothing for personalisation to exploit, too little prevents convergence. It also evaluates clients on classes absent from their training data, so that adaptation to unseen traffic can be measured.</w:t>
      </w:r>
    </w:p>
    <w:p>
      <w:pPr/>
      <w:r>
        <w:t xml:space="preserve">Fed-ANIDS (Idrissi et al., 2023) takes an anomaly detection approach, training autoencoders on normal traffic only and treating reconstruction error as an intrusion score.</w:t>
      </w:r>
    </w:p>
    <w:p>
      <w:pPr>
        <w:pStyle w:val="Heading3"/>
      </w:pPr>
      <w:r>
        <w:t xml:space="preserve">Data quality in CICIDS2017</w:t>
      </w:r>
    </w:p>
    <w:p>
      <w:pPr/>
      <w:r>
        <w:t xml:space="preserve">CICIDS2017 (Sharafaldin et al., 2018) is the most used benchmark in this area, and the literature documents several defects that inflate reported results when unaddressed.</w:t>
      </w:r>
    </w:p>
    <w:p>
      <w:pPr/>
      <w:r>
        <w:t xml:space="preserve">Flow rate columns contain infinities where a rate was computed over a zero-length flow, and the dataset contains a substantial number of duplicate rows. Reported practice is to drop both, or to impute the infinities with a column median fitted inside the training fold. Identifier columns, addresses, ports, timestamps and flow identifiers, must be removed before the feature matrix is built, because a personalised model can otherwise score well by recognising which client it is serving.</w:t>
      </w:r>
    </w:p>
    <w:p>
      <w:pPr/>
      <w:r>
        <w:t xml:space="preserve">Percentile clipping is applied in several published pipelines to bound the extreme values typical of flow statistics.</w:t>
      </w:r>
    </w:p>
    <w:p>
      <w:pPr/>
      <w:r>
        <w:t xml:space="preserve">Class imbalance is severe. Benign traffic is roughly eighty-two per cent of the capture, so accuracy is uninformative: a classifier that never raises an alert scores above 0.81. Macro-averaged F1 weights each class equally and does not use the true negative cell, which is why it separates a working detector from a trivial one where accuracy does not.</w:t>
      </w:r>
    </w:p>
    <w:p>
      <w:pPr>
        <w:pStyle w:val="Heading3"/>
      </w:pPr>
      <w:r>
        <w:t xml:space="preserve">Gap</w:t>
      </w:r>
    </w:p>
    <w:p>
      <w:pPr/>
      <w:r>
        <w:t xml:space="preserve">Three gaps motivate the project.</w:t>
      </w:r>
    </w:p>
    <w:p>
      <w:pPr/>
      <w:r>
        <w:t xml:space="preserve">PerMFL has not been evaluated on intrusion detection data. Its premise concerns known team structures, and intrusion detection supplies them naturally, but no published work tests it there.</w:t>
      </w:r>
    </w:p>
    <w:p>
      <w:pPr/>
      <w:r>
        <w:t xml:space="preserve">The clustered methods that do address intrusion detection derive their groupings and offer no convergence analysis; PerMFL offers the analysis but assumes the grouping. Neither literature examines what the assumed grouping actually contributes.</w:t>
      </w:r>
    </w:p>
    <w:p>
      <w:pPr/>
      <w:r>
        <w:t xml:space="preserve">Where clustering methods report null or weak results, the partition is rarely examined as a possible cause. Dirichlet partitioning produces a continuum of client distributions rather than discrete groups, so a clustering algorithm has nothing recoverable to find, and a null result measures the partition rather than the method.</w:t>
      </w:r>
    </w:p>
    <w:p>
      <w:r>
        <w:br w:type="page"/>
      </w:r>
    </w:p>
    <w:p>
      <w:pPr>
        <w:pStyle w:val="Heading2"/>
      </w:pPr>
      <w:r>
        <w:t xml:space="preserve">Requirements, Ethics and Legal Position</w:t>
      </w:r>
    </w:p>
    <w:p>
      <w:pPr/>
      <w:r>
        <w:t xml:space="preserve">This chapter states what the software had to do, the constraints it operated under, and the ethical and legal position of the work.</w:t>
      </w:r>
    </w:p>
    <w:p>
      <w:pPr>
        <w:pStyle w:val="Heading3"/>
      </w:pPr>
      <w:r>
        <w:t xml:space="preserve">Functional requirements</w:t>
      </w:r>
    </w:p>
    <w:p>
      <w:pPr>
        <w:pStyle w:val="ListParagraph"/>
        <w:numPr>
          <w:ilvl w:val="0"/>
          <w:numId w:val="1"/>
        </w:numPr>
      </w:pPr>
      <w:r>
        <w:rPr>
          <w:b/>
        </w:rPr>
        <w:t xml:space="preserve">F1 Reproduce the base method.</w:t>
      </w:r>
      <w:r>
        <w:t xml:space="preserve">  Run PerMFL unmodified on the authors'</w:t>
      </w:r>
    </w:p>
    <w:p>
      <w:pPr/>
      <w:r>
        <w:t xml:space="preserve">own dataset and compare against the published figure. Without this, no     later result can be attributed to a change rather than to a broken     implementation.</w:t>
      </w:r>
    </w:p>
    <w:p>
      <w:pPr>
        <w:pStyle w:val="ListParagraph"/>
        <w:numPr>
          <w:ilvl w:val="0"/>
          <w:numId w:val="1"/>
        </w:numPr>
      </w:pPr>
      <w:r>
        <w:rPr>
          <w:b/>
        </w:rPr>
        <w:t xml:space="preserve">F2 Load intrusion detection data.</w:t>
      </w:r>
      <w:r>
        <w:t xml:space="preserve">  Parse CICIDS2017, NSL-KDD and</w:t>
      </w:r>
    </w:p>
    <w:p>
      <w:pPr/>
      <w:r>
        <w:t xml:space="preserve">TON-IoT into the four-tuple interface the existing loaders expose, so that     every algorithm in the codebase runs on them without modification.</w:t>
      </w:r>
    </w:p>
    <w:p>
      <w:pPr>
        <w:pStyle w:val="ListParagraph"/>
        <w:numPr>
          <w:ilvl w:val="0"/>
          <w:numId w:val="1"/>
        </w:numPr>
      </w:pPr>
      <w:r>
        <w:rPr>
          <w:b/>
        </w:rPr>
        <w:t xml:space="preserve">F3 Partition clients under controlled heterogeneity.</w:t>
      </w:r>
      <w:r>
        <w:t xml:space="preserve">  Support</w:t>
      </w:r>
    </w:p>
    <w:p>
      <w:pPr/>
      <w:r>
        <w:t xml:space="preserve">attack-domain, label-skew, Dirichlet and host-based partitioning, with the     degree of skew settable and measurable.</w:t>
      </w:r>
    </w:p>
    <w:p>
      <w:pPr>
        <w:pStyle w:val="ListParagraph"/>
        <w:numPr>
          <w:ilvl w:val="0"/>
          <w:numId w:val="1"/>
        </w:numPr>
      </w:pPr>
      <w:r>
        <w:rPr>
          <w:b/>
        </w:rPr>
        <w:t xml:space="preserve">F4 Report metrics appropriate to imbalanced detection.</w:t>
      </w:r>
      <w:r>
        <w:t xml:space="preserve">  Macro-averaged</w:t>
      </w:r>
    </w:p>
    <w:p>
      <w:pPr/>
      <w:r>
        <w:t xml:space="preserve">F1, precision, recall and false positive rate, per class and pooled, in     addition to the accuracy the base implementation reports.</w:t>
      </w:r>
    </w:p>
    <w:p>
      <w:pPr>
        <w:pStyle w:val="ListParagraph"/>
        <w:numPr>
          <w:ilvl w:val="0"/>
          <w:numId w:val="1"/>
        </w:numPr>
      </w:pPr>
      <w:r>
        <w:rPr>
          <w:b/>
        </w:rPr>
        <w:t xml:space="preserve">F5 Support repeated runs.</w:t>
      </w:r>
      <w:r>
        <w:t xml:space="preserve">  Vary model initialisation and partitioning</w:t>
      </w:r>
    </w:p>
    <w:p>
      <w:pPr/>
      <w:r>
        <w:t xml:space="preserve">by seed so that variation across runs can be measured.</w:t>
      </w:r>
    </w:p>
    <w:p>
      <w:pPr>
        <w:pStyle w:val="ListParagraph"/>
        <w:numPr>
          <w:ilvl w:val="0"/>
          <w:numId w:val="1"/>
        </w:numPr>
      </w:pPr>
      <w:r>
        <w:rPr>
          <w:b/>
        </w:rPr>
        <w:t xml:space="preserve">F6 Derive teams from client updates.</w:t>
      </w:r>
      <w:r>
        <w:t xml:space="preserve">  Form teams during training from</w:t>
      </w:r>
    </w:p>
    <w:p>
      <w:pPr/>
      <w:r>
        <w:t xml:space="preserve">the client state rather than at load time, since a data-derived grouping     cannot be computed before any client has trained.</w:t>
      </w:r>
    </w:p>
    <w:p>
      <w:pPr>
        <w:pStyle w:val="ListParagraph"/>
        <w:numPr>
          <w:ilvl w:val="0"/>
          <w:numId w:val="1"/>
        </w:numPr>
      </w:pPr>
      <w:r>
        <w:rPr>
          <w:b/>
        </w:rPr>
        <w:t xml:space="preserve">F7 Evaluate on unseen classes.</w:t>
      </w:r>
      <w:r>
        <w:t xml:space="preserve">  Support evaluation of clients on</w:t>
      </w:r>
    </w:p>
    <w:p>
      <w:pPr/>
      <w:r>
        <w:t xml:space="preserve">classes absent from their training data.</w:t>
      </w:r>
    </w:p>
    <w:p>
      <w:pPr>
        <w:pStyle w:val="Heading3"/>
      </w:pPr>
      <w:r>
        <w:t xml:space="preserve">Non-functional requirements</w:t>
      </w:r>
    </w:p>
    <w:p>
      <w:pPr>
        <w:pStyle w:val="ListParagraph"/>
        <w:numPr>
          <w:ilvl w:val="0"/>
          <w:numId w:val="1"/>
        </w:numPr>
      </w:pPr>
      <w:r>
        <w:rPr>
          <w:b/>
        </w:rPr>
        <w:t xml:space="preserve">N1 Reproducibility.</w:t>
      </w:r>
      <w:r>
        <w:t xml:space="preserve">  A run must be reproducible from a recorded seed</w:t>
      </w:r>
    </w:p>
    <w:p>
      <w:pPr/>
      <w:r>
        <w:t xml:space="preserve">and command. Package versions are pinned to the period of the base paper's     publication.</w:t>
      </w:r>
    </w:p>
    <w:p>
      <w:pPr>
        <w:pStyle w:val="ListParagraph"/>
        <w:numPr>
          <w:ilvl w:val="0"/>
          <w:numId w:val="1"/>
        </w:numPr>
      </w:pPr>
      <w:r>
        <w:rPr>
          <w:b/>
        </w:rPr>
        <w:t xml:space="preserve">N2 No information leakage.</w:t>
      </w:r>
      <w:r>
        <w:t xml:space="preserve">  No statistic fitted on evaluation data may</w:t>
      </w:r>
    </w:p>
    <w:p>
      <w:pPr/>
      <w:r>
        <w:t xml:space="preserve">influence training. Scaling parameters, clipping bounds and imputation     values are fitted on the training split only.</w:t>
      </w:r>
    </w:p>
    <w:p>
      <w:pPr>
        <w:pStyle w:val="ListParagraph"/>
        <w:numPr>
          <w:ilvl w:val="0"/>
          <w:numId w:val="1"/>
        </w:numPr>
      </w:pPr>
      <w:r>
        <w:rPr>
          <w:b/>
        </w:rPr>
        <w:t xml:space="preserve">N3 Commodity hardware.</w:t>
      </w:r>
      <w:r>
        <w:t xml:space="preserve">  Experiments must complete on a laptop CPU. No</w:t>
      </w:r>
    </w:p>
    <w:p>
      <w:pPr/>
      <w:r>
        <w:t xml:space="preserve">result may depend on access to a GPU cluster.</w:t>
      </w:r>
    </w:p>
    <w:p>
      <w:pPr>
        <w:pStyle w:val="ListParagraph"/>
        <w:numPr>
          <w:ilvl w:val="0"/>
          <w:numId w:val="1"/>
        </w:numPr>
      </w:pPr>
      <w:r>
        <w:rPr>
          <w:b/>
        </w:rPr>
        <w:t xml:space="preserve">N4 Backward compatibility.</w:t>
      </w:r>
      <w:r>
        <w:t xml:space="preserve">  Every modification defaults to the released</w:t>
      </w:r>
    </w:p>
    <w:p>
      <w:pPr/>
      <w:r>
        <w:t xml:space="preserve">behaviour, so results obtained before a change remain reproducible after     it.</w:t>
      </w:r>
    </w:p>
    <w:p>
      <w:pPr>
        <w:pStyle w:val="ListParagraph"/>
        <w:numPr>
          <w:ilvl w:val="0"/>
          <w:numId w:val="1"/>
        </w:numPr>
      </w:pPr>
      <w:r>
        <w:rPr>
          <w:b/>
        </w:rPr>
        <w:t xml:space="preserve">N5 Traceability.</w:t>
      </w:r>
      <w:r>
        <w:t xml:space="preserve">  Each defect identified in the base implementation is</w:t>
      </w:r>
    </w:p>
    <w:p>
      <w:pPr/>
      <w:r>
        <w:t xml:space="preserve">recorded with a file and line reference and, where its effect is     measurable, a measurement.</w:t>
      </w:r>
    </w:p>
    <w:p>
      <w:pPr>
        <w:pStyle w:val="Heading3"/>
      </w:pPr>
      <w:r>
        <w:t xml:space="preserve">Ethical position</w:t>
      </w:r>
    </w:p>
    <w:p>
      <w:pPr>
        <w:spacing w:before="180" w:after="60"/>
      </w:pPr>
      <w:r>
        <w:rPr>
          <w:b/>
          <w:i/>
        </w:rPr>
        <w:t xml:space="preserve">Data</w:t>
      </w:r>
    </w:p>
    <w:p>
      <w:pPr/>
      <w:r>
        <w:t xml:space="preserve">The project uses three public datasets released for research. CICIDS2017 and NSL-KDD were produced by the Canadian Institute for Cybersecurity, TON-IoT by UNSW Canberra. All three were captured in purpose-built testbeds using synthetic user profiles and scripted attacks. No traffic from a real organisation or an identifiable individual is involved, and no attempt is made to re-identify any host.</w:t>
      </w:r>
    </w:p>
    <w:p>
      <w:pPr/>
      <w:r>
        <w:t xml:space="preserve">The IP addresses in the captures belong to testbed machines. They appear in the raw files and are used in one partitioning scheme to define client boundaries, which reflects how a deployed system would be organised. They are removed before the feature matrix is constructed, both to prevent the model learning addresses instead of behaviour and because address-derived features do not transfer outside the testbed.</w:t>
      </w:r>
    </w:p>
    <w:p>
      <w:pPr>
        <w:spacing w:before="180" w:after="60"/>
      </w:pPr>
      <w:r>
        <w:rPr>
          <w:b/>
          <w:i/>
        </w:rPr>
        <w:t xml:space="preserve">Ethical approval</w:t>
      </w:r>
    </w:p>
    <w:p>
      <w:pPr/>
      <w:r>
        <w:t xml:space="preserve">The project involves no human participants, no personal data as defined by UK GDPR, and no interaction with live systems. Approval was obtained under reference </w:t>
      </w:r>
      <w:r>
        <w:rPr>
          <w:highlight w:val="red"/>
        </w:rPr>
        <w:t xml:space="preserve">[TO SUPPLY: EthOS number]</w:t>
      </w:r>
      <w:r>
        <w:t xml:space="preserve">.</w:t>
      </w:r>
    </w:p>
    <w:p>
      <w:pPr>
        <w:spacing w:before="180" w:after="60"/>
      </w:pPr>
      <w:r>
        <w:rPr>
          <w:b/>
          <w:i/>
        </w:rPr>
        <w:t xml:space="preserve">Dual use</w:t>
      </w:r>
    </w:p>
    <w:p>
      <w:pPr/>
      <w:r>
        <w:t xml:space="preserve">Intrusion detection research is defensive, but any work that characterises where a detector fails also indicates where it could be evaded. The findings here concern the internal parameterisation of a federated learning method rather than exploitable weaknesses in a deployed system, and the datasets are public and well studied. The risk is low. No detection evasion technique is developed or evaluated.</w:t>
      </w:r>
    </w:p>
    <w:p>
      <w:pPr>
        <w:spacing w:before="180" w:after="60"/>
      </w:pPr>
      <w:r>
        <w:rPr>
          <w:b/>
          <w:i/>
        </w:rPr>
        <w:t xml:space="preserve">Reporting</w:t>
      </w:r>
    </w:p>
    <w:p>
      <w:pPr/>
      <w:r>
        <w:t xml:space="preserve">Results are reported whether or not they support the hypothesis. The evaluation in Chapter~(see above) includes a configuration in which the proposed correction makes matters worse, and a claim from an earlier stage of the work that later measurement contradicted. Both are retained.</w:t>
      </w:r>
    </w:p>
    <w:p>
      <w:pPr>
        <w:pStyle w:val="Heading3"/>
      </w:pPr>
      <w:r>
        <w:t xml:space="preserve">Legal position</w:t>
      </w:r>
    </w:p>
    <w:p>
      <w:pPr/>
      <w:r>
        <w:t xml:space="preserve">The base implementation is released by its authors under the MIT licence. This work is a derivative and carries the same licence with attribution preserved. Dataset licences permit academic use with citation, and all three are cited. No dataset is redistributed; the repository contains loaders and a download procedure.</w:t>
      </w:r>
    </w:p>
    <w:p>
      <w:pPr>
        <w:pStyle w:val="Heading3"/>
      </w:pPr>
      <w:r>
        <w:t xml:space="preserve">Scope</w:t>
      </w:r>
    </w:p>
    <w:p>
      <w:pPr/>
      <w:r>
        <w:t xml:space="preserve">Three exclusions are deliberate.</w:t>
      </w:r>
    </w:p>
    <w:p>
      <w:pPr/>
      <w:r>
        <w:t xml:space="preserve">No comparison against SCMoE-PFL or CFMD-i is attempted. Neither publishes an implementation, and comparing against a reimplementation would measure the reimplementation. This also means no claim is made about relative computational efficiency, since establishing one would require running both.</w:t>
      </w:r>
    </w:p>
    <w:p>
      <w:pPr/>
      <w:r>
        <w:t xml:space="preserve">Differential privacy and secure aggregation are out of scope. The threat model here is statistical heterogeneity, not an adversarial server.</w:t>
      </w:r>
    </w:p>
    <w:p>
      <w:pPr/>
      <w:r>
        <w:t xml:space="preserve">Attack detection is treated as multi-class classification over labelled traffic. Unsupervised anomaly detection, as in Fed-ANIDS, is a different problem.</w:t>
      </w:r>
    </w:p>
    <w:p>
      <w:r>
        <w:br w:type="page"/>
      </w:r>
    </w:p>
    <w:p>
      <w:pPr>
        <w:pStyle w:val="Heading2"/>
      </w:pPr>
      <w:r>
        <w:t xml:space="preserve">Design</w:t>
      </w:r>
    </w:p>
    <w:p>
      <w:pPr/>
      <w:r>
        <w:t xml:space="preserve">This chapter sets out the experimental design: the architecture under test, the partitioning schemes, the evaluation protocol, and the reasoning behind each choice.</w:t>
      </w:r>
    </w:p>
    <w:p>
      <w:pPr>
        <w:pStyle w:val="Heading3"/>
      </w:pPr>
      <w:r>
        <w:t xml:space="preserve">Architecture under test</w:t>
      </w:r>
    </w:p>
    <w:p>
      <w:pPr/>
      <w:r>
        <w:t xml:space="preserve">PerMFL holds three models, each a complete copy of the network rather than a subset of its layers. A device model $\theta_{i,j}$ belongs to device $j$ in team $i$, a team model $w_i$ to each of the $M$ teams, and a global model $x$ to the server. Figure~(see above) shows the arrangement and the direction of each coupling.</w:t>
      </w:r>
    </w:p>
    <w:p>
      <w:pPr>
        <w:jc w:val="center"/>
        <w:spacing w:before="180" w:after="60"/>
      </w:pPr>
      <w:r>
        <w:drawing>
          <wp:inline distT="0" distB="0" distL="0" distR="0">
            <wp:extent cx="5486400" cy="2815425"/>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Fig1"/>
                    <a:stretch>
                      <a:fillRect/>
                    </a:stretch>
                  </pic:blipFill>
                  <pic:spPr>
                    <a:xfrm>
                      <a:off x="0" y="0"/>
                      <a:ext cx="5486400" cy="2815425"/>
                    </a:xfrm>
                    <a:prstGeom prst="rect">
                      <a:avLst/>
                    </a:prstGeom>
                  </pic:spPr>
                </pic:pic>
              </a:graphicData>
            </a:graphic>
          </wp:inline>
        </w:drawing>
      </w:r>
    </w:p>
    <w:p>
      <w:pPr>
        <w:jc w:val="center"/>
        <w:spacing w:after="220"/>
      </w:pPr>
      <w:r>
        <w:rPr>
          <w:b/>
          <w:sz w:val="18"/>
        </w:rPr>
        <w:t xml:space="preserve">Figure 1: </w:t>
      </w:r>
      <w:r>
        <w:rPr>
          <w:sz w:val="18"/>
        </w:rPr>
        <w:t xml:space="preserve">Three-tier structure of PerMFL. Device parameters are pulled toward the team model, team models toward the global model. The weight the team places on its members is the parameter this project separates.</w:t>
      </w:r>
    </w:p>
    <w:p>
      <w:pPr/>
      <w:r>
        <w:t xml:space="preserve">The training loop nests three counters. Each global round $t$ runs $K$ team rounds, and each team round runs $L$ local gradient steps on every participating device. At the start of a global round every team model is overwritten with the current global model. At the start of every team round every device model is overwritten with its team's model. A device therefore travels at most $L$ steps from its team model before being reset, a property that Section~(see above) shows to be the dominant influence on personalised performance.</w:t>
      </w:r>
    </w:p>
    <w:p>
      <w:pPr/>
      <w:r>
        <w:t xml:space="preserve">Communication cost follows from the loop structure. Each team round broadcasts the team model to its devices and collects their updates, so device-to-server transfers per global round are $2KN$ for $N$ devices in total. The number of teams cancels: five teams of four and one team of twenty cost the same.</w:t>
      </w:r>
    </w:p>
    <w:p>
      <w:pPr>
        <w:pStyle w:val="Heading3"/>
      </w:pPr>
      <w:r>
        <w:t xml:space="preserve">Partitioning schemes</w:t>
      </w:r>
    </w:p>
    <w:p>
      <w:pPr/>
      <w:r>
        <w:t xml:space="preserve">How clients are constructed determines what any clustering method can recover and how much a group-level model can contribute. Four schemes are implemented.</w:t>
      </w:r>
    </w:p>
    <w:p>
      <w:pPr>
        <w:spacing w:before="180" w:after="60"/>
      </w:pPr>
      <w:r>
        <w:rPr>
          <w:b/>
          <w:i/>
        </w:rPr>
        <w:t xml:space="preserve">Attack domain</w:t>
      </w:r>
    </w:p>
    <w:p>
      <w:pPr/>
      <w:r>
        <w:t xml:space="preserve">Each attack family is assigned to a group of clients, following CFMD-i's first scenario. Benign traffic is distributed uniformly across every client, since a detector with no notion of normal traffic has no decision boundary to learn. Clients are dealt to domains in rotation and then shuffled, so that client index does not encode domain membership. Without the shuffle, a clustering that recovered index order would be indistinguishable from one that recovered structure.</w:t>
      </w:r>
    </w:p>
    <w:p>
      <w:pPr/>
      <w:r>
        <w:t xml:space="preserve">This scheme is the only one that supplies ground truth. Every client carries a known domain label, so a derived partition can be scored against it with the adjusted Rand index rather than argued about through downstream accuracy.</w:t>
      </w:r>
    </w:p>
    <w:p>
      <w:pPr>
        <w:spacing w:before="180" w:after="60"/>
      </w:pPr>
      <w:r>
        <w:rPr>
          <w:b/>
          <w:i/>
        </w:rPr>
        <w:t xml:space="preserve">Label skew</w:t>
      </w:r>
    </w:p>
    <w:p>
      <w:pPr/>
      <w:r>
        <w:t xml:space="preserve">Each client receives a fixed number $k$ of attack classes, dealt in rotation so that neighbouring clients overlap and every class has a similar number of holders. Sweeping $k$ produces a heterogeneity ladder, following the approach in Stones From Other Hills, which reports a federated baseline, a local baseline and its own method at each level.</w:t>
      </w:r>
    </w:p>
    <w:p>
      <w:pPr>
        <w:spacing w:before="180" w:after="60"/>
      </w:pPr>
      <w:r>
        <w:rPr>
          <w:b/>
          <w:i/>
        </w:rPr>
        <w:t xml:space="preserve">Dirichlet</w:t>
      </w:r>
    </w:p>
    <w:p>
      <w:pPr/>
      <w:r>
        <w:t xml:space="preserve">The standard approach in the clustered federated learning literature. Class proportions per client are drawn from a Dirichlet distribution with concentration $\alpha$, lower values producing more skew. It is included for comparability, with the caveat noted in Section~(see above): it produces a continuum rather than discrete groups, so it cannot support a ground-truth clustering evaluation.</w:t>
      </w:r>
    </w:p>
    <w:p>
      <w:pPr>
        <w:spacing w:before="180" w:after="60"/>
      </w:pPr>
      <w:r>
        <w:rPr>
          <w:b/>
          <w:i/>
        </w:rPr>
        <w:t xml:space="preserve">Host based</w:t>
      </w:r>
    </w:p>
    <w:p>
      <w:pPr/>
      <w:r>
        <w:t xml:space="preserve">One client per destination host, which is what a deployed system looks like: one agent per machine. Most victim hosts in these captures see a single attack type, so hosts are selected by the entropy of their label distribution, an approach taken from DP-FL. Without that filter every client would hold one class and the partition would be degenerate.</w:t>
      </w:r>
    </w:p>
    <w:p>
      <w:pPr>
        <w:pStyle w:val="Heading3"/>
      </w:pPr>
      <w:r>
        <w:t xml:space="preserve">Controlling and measuring heterogeneity</w:t>
      </w:r>
    </w:p>
    <w:p>
      <w:pPr/>
      <w:r>
        <w:t xml:space="preserve">Two independent controls are provided.</w:t>
      </w:r>
    </w:p>
    <w:p>
      <w:pPr/>
      <w:r>
        <w:t xml:space="preserve">The first is the partition itself, through $k$ or $\alpha$. The second is the proportion of benign traffic retained per client. At eighty-two per cent benign, every client's label distribution is dominated by the same class, which compresses any divergence measure regardless of how the attacks are split. Thinning benign traffic on the training split makes the underlying structure visible without altering the partition. It is applied to training data only: the evaluation set must reflect operational traffic, and thinning it would inflate macro F1 by shrinking the majority class in the denominator.</w:t>
      </w:r>
    </w:p>
    <w:p>
      <w:pPr/>
      <w:r>
        <w:t xml:space="preserve">Heterogeneity is reported as the mean pairwise Jensen-Shannon divergence between client label distributions, which is zero when clients are identical and one when they are disjoint, alongside the effective number of classes per client.</w:t>
      </w:r>
    </w:p>
    <w:p>
      <w:pPr>
        <w:pStyle w:val="Heading3"/>
      </w:pPr>
      <w:r>
        <w:t xml:space="preserve">Evaluation protocol</w:t>
      </w:r>
    </w:p>
    <w:p>
      <w:pPr>
        <w:spacing w:before="180" w:after="60"/>
      </w:pPr>
      <w:r>
        <w:rPr>
          <w:b/>
          <w:i/>
        </w:rPr>
        <w:t xml:space="preserve">Metrics</w:t>
      </w:r>
    </w:p>
    <w:p>
      <w:pPr/>
      <w:r>
        <w:t xml:space="preserve">Accuracy is reported but is not the headline. On a corpus that is eighty-two per cent benign, a classifier that never raises an alert scores 0.8171. The reason is structural: accuracy uses the true negative cell, which dominates under imbalance. For a single attack class in the CICIDS2017 evaluation set, a detector that never fires records per-class accuracy between 0.955 and 0.992 while recording zero recall.</w:t>
      </w:r>
    </w:p>
    <w:p>
      <w:pPr/>
      <w:r>
        <w:t xml:space="preserve">Macro-averaged F1 is the headline metric. It weights every class equally and, uniquely among the composite measures considered, does not use the true negative cell at all. Recall is reported as the detection rate an operator tunes toward, and false positive rate as the alert volume they tune against.</w:t>
      </w:r>
    </w:p>
    <w:p>
      <w:pPr/>
      <w:r>
        <w:t xml:space="preserve">Every result is reported against two anchors: the floor a majority-class classifier achieves, and the ceiling the same model and optimiser reach when trained centrally on the pooled data.</w:t>
      </w:r>
    </w:p>
    <w:p>
      <w:pPr>
        <w:spacing w:before="180" w:after="60"/>
      </w:pPr>
      <w:r>
        <w:rPr>
          <w:b/>
          <w:i/>
        </w:rPr>
        <w:t xml:space="preserve">Splits</w:t>
      </w:r>
    </w:p>
    <w:p>
      <w:pPr/>
      <w:r>
        <w:t xml:space="preserve">Two splits are used. The temporal split orders each client's rows by timestamp within each class and takes the earliest seventy-five per cent for training. Splitting within class rather than within client is necessary because attacks occupy contiguous time windows: a flat split by time assigns the test set whichever attack ran last and places the others entirely in training. The random split is stratified and serves as the comparison.</w:t>
      </w:r>
    </w:p>
    <w:p>
      <w:pPr/>
      <w:r>
        <w:t xml:space="preserve">Both were measured. The difference between them is 0.0001 macro F1, so the random split is used for the main results and the temporal split is reported as an ablation.</w:t>
      </w:r>
    </w:p>
    <w:p>
      <w:pPr>
        <w:spacing w:before="180" w:after="60"/>
      </w:pPr>
      <w:r>
        <w:rPr>
          <w:b/>
          <w:i/>
        </w:rPr>
        <w:t xml:space="preserve">Evaluation on unseen classes</w:t>
      </w:r>
    </w:p>
    <w:p>
      <w:pPr/>
      <w:r>
        <w:t xml:space="preserve">Under the cross-test protocol, held-out rows are redistributed across all clients regardless of what each trained on, so every client is evaluated on every class. This follows Stones From Other Hills, where a gateway trained on one set of classes is tested on a partly disjoint set to measure adaptation to unseen traffic.</w:t>
      </w:r>
    </w:p>
    <w:p>
      <w:pPr/>
      <w:r>
        <w:t xml:space="preserve">The protocol imposes a structural ceiling. A client can only predict classes it has trained on, so a class held by $h$ of $N$ clients has pooled recall bounded by $h/N$ and F1 bounded by $2(h/N)/(1 + h/N)$ even under perfect classification. This bound is computed for every configuration and reported alongside the achieved value, because a score of 0.34 against a ceiling of 0.41 is a different result from 0.34 against a ceiling of 1.0.</w:t>
      </w:r>
    </w:p>
    <w:p>
      <w:pPr>
        <w:pStyle w:val="Heading3"/>
      </w:pPr>
      <w:r>
        <w:t xml:space="preserve">Experimental design</w:t>
      </w:r>
    </w:p>
    <w:p>
      <w:pPr/>
      <w:r>
        <w:t xml:space="preserve">Comparisons are paired: both configurations under test see the same partition and the same initialisation for a given seed, so the difference isolates the change. Five seeds are used for headline comparisons and three for exploratory sweeps, with a paired $t$ test. Three seeds is treated as indicative only; at $n=3$ the critical value is 4.303 and the statistic is dominated by seed variance.</w:t>
      </w:r>
    </w:p>
    <w:p>
      <w:pPr/>
      <w:r>
        <w:t xml:space="preserve">Results that fall below a difference of 0.03 macro F1 are treated as noise. That threshold comes from measurement: two runs of an identical configuration differed by 0.0116, so anything smaller cannot be distinguished from run-to-run variation.</w:t>
      </w:r>
    </w:p>
    <w:p>
      <w:r>
        <w:br w:type="page"/>
      </w:r>
    </w:p>
    <w:p>
      <w:pPr>
        <w:pStyle w:val="Heading2"/>
      </w:pPr>
      <w:r>
        <w:t xml:space="preserve">Implementation</w:t>
      </w:r>
    </w:p>
    <w:p>
      <w:pPr/>
      <w:r>
        <w:t xml:space="preserve">This chapter describes the data pipeline, the modifications made to the base implementation, and the defects found while making them.</w:t>
      </w:r>
    </w:p>
    <w:p>
      <w:pPr>
        <w:pStyle w:val="Heading3"/>
      </w:pPr>
      <w:r>
        <w:t xml:space="preserve">Environment</w:t>
      </w:r>
    </w:p>
    <w:p>
      <w:pPr/>
      <w:r>
        <w:t xml:space="preserve">The base implementation ships no dependency versions. Packages were pinned to the releases current at the base paper's submission: torch 2.3.1, torchvision 0.18.1, numpy 1.26.4, pandas 2.2.2. This is not conservatism for its own sake. The optimiser module uses a positional-alpha overload of </w:t>
      </w:r>
      <w:r>
        <w:rPr>
          <w:rFonts w:ascii="Consolas" w:hAnsi="Consolas"/>
          <w:sz w:val="18"/>
        </w:rPr>
        <w:t xml:space="preserve">Tensor.add\_</w:t>
      </w:r>
      <w:r>
        <w:t xml:space="preserve"> that later torch releases reject, so the Per-FedAvg baseline fails outright on a current install.</w:t>
      </w:r>
    </w:p>
    <w:p>
      <w:pPr/>
      <w:r>
        <w:t xml:space="preserve">All experiments run on CPU. Threading was measured rather than assumed: the default of one thread per core is slower than a single thread for these model sizes, by twenty-two to thirty-nine per cent, because the matrix products are too small for the synchronisation cost to pay. Runs are therefore pinned to one thread and parallelised across configurations instead.</w:t>
      </w:r>
    </w:p>
    <w:p>
      <w:pPr>
        <w:pStyle w:val="Heading3"/>
      </w:pPr>
      <w:r>
        <w:t xml:space="preserve">Data pipeline</w:t>
      </w:r>
    </w:p>
    <w:p>
      <w:pPr>
        <w:spacing w:before="180" w:after="60"/>
      </w:pPr>
      <w:r>
        <w:rPr>
          <w:b/>
          <w:i/>
        </w:rPr>
        <w:t xml:space="preserve">CICIDS2017</w:t>
      </w:r>
    </w:p>
    <w:p>
      <w:pPr/>
      <w:r>
        <w:t xml:space="preserve">Two distributions of CICIDS2017 exist. The machine learning variant carries seventy-eight features and a label; the traffic labelling variant adds flow identifier, addresses, ports and timestamp. Only the second supports a temporal split, and only the second supports the host-based partition, so it is the one used. This distinction matters beyond this project: a temporal split performed on the first variant can only be positional, since it holds no time column.</w:t>
      </w:r>
    </w:p>
    <w:p>
      <w:pPr/>
      <w:r>
        <w:t xml:space="preserve">Cleaning proceeds in four steps. One file contains 288,602 rows in which every field is empty; removing them leaves a total of 2,830,743, matching the canonical figure. Seven of the eight files record timestamps in twelve-hour form with no meridiem, so the Wednesday capture appears to run from 08:42 to 02:43; since the capture window is 08:00 to 17:00, hours one to seven are afternoon and are advanced by twelve. Rows carrying infinities or missing values in the flow rate columns are dropped along with exact duplicates, 309,745 rows in total. Identifier columns are removed before the feature matrix is built.</w:t>
      </w:r>
    </w:p>
    <w:p>
      <w:pPr/>
      <w:r>
        <w:t xml:space="preserve">Classes below a configurable threshold are dropped. At 2,000 rows this removes Bot, the three web attack variants, Infiltration and Heartbleed, leaving nine classes. The threshold exists because a class with eleven rows in the entire capture cannot survive a seventy-five/twenty-five split, and its F1 contribution is noise that enters the macro average with equal weight.</w:t>
      </w:r>
    </w:p>
    <w:p>
      <w:pPr/>
      <w:r>
        <w:t xml:space="preserve">Feature values are clipped to percentile bounds fitted on the training split and then standardised, also on training statistics only. Clipping was added after measuring the range: fifty-eight of seventy-nine features have a maximum-to-median ratio above $10^4$ and forty-three above $10^6$.</w:t>
      </w:r>
    </w:p>
    <w:p>
      <w:pPr>
        <w:spacing w:before="180" w:after="60"/>
      </w:pPr>
      <w:r>
        <w:rPr>
          <w:b/>
          <w:i/>
        </w:rPr>
        <w:t xml:space="preserve">NSL-KDD and TON-IoT</w:t>
      </w:r>
    </w:p>
    <w:p>
      <w:pPr/>
      <w:r>
        <w:t xml:space="preserve">NSL-KDD ships a canonical train and test split, so no split has to be designed and the questions raised in Section~(see above) do not arise. Its three categorical columns are one-hot encoded, giving 122 features over five classes: normal plus the four documented attack domains.</w:t>
      </w:r>
    </w:p>
    <w:p>
      <w:pPr/>
      <w:r>
        <w:t xml:space="preserve">TON-IoT contributes its network subset, 211,043 rows over ten classes. It is included because it is near-balanced where CICIDS2017 is not: normal traffic is 23.7 per cent against 81.7, so the accuracy floor is 0.2369 rather than 0.8171 and macro F1 has room to move. Addresses are dropped as features, since the attacker hosts are a fixed range and would leak the label, but the destination address is retained to define the host-based partition.</w:t>
      </w:r>
    </w:p>
    <w:p>
      <w:pPr>
        <w:pStyle w:val="Heading3"/>
      </w:pPr>
      <w:r>
        <w:t xml:space="preserve">Metric instrumentation</w:t>
      </w:r>
    </w:p>
    <w:p>
      <w:pPr/>
      <w:r>
        <w:t xml:space="preserve">The base implementation records accuracy and loss only. No confusion matrix is constructed anywhere in it, and the published paper reports no F1, recall or precision.</w:t>
      </w:r>
    </w:p>
    <w:p>
      <w:pPr/>
      <w:r>
        <w:t xml:space="preserve">A metrics module was added computing macro-averaged F1, precision, recall and false positive rate from a pooled confusion matrix. Two decisions in it matter.</w:t>
      </w:r>
    </w:p>
    <w:p>
      <w:pPr/>
      <w:r>
        <w:t xml:space="preserve">The average is taken over the complete label set, with classes absent from a test slice contributing zero. Averaging only over classes that happen to appear inflates personalised methods, because each device holds a subset of classes and would otherwise be graded only on those.</w:t>
      </w:r>
    </w:p>
    <w:p>
      <w:pPr/>
      <w:r>
        <w:t xml:space="preserve">The matrices are summed across clients before the F1 is taken. Averaging per-client F1 scores instead produces a different and more flattering number, for the same reason.</w:t>
      </w:r>
    </w:p>
    <w:p>
      <w:pPr/>
      <w:r>
        <w:t xml:space="preserve">Confusion accumulation is vectorised through </w:t>
      </w:r>
      <w:r>
        <w:rPr>
          <w:rFonts w:ascii="Consolas" w:hAnsi="Consolas"/>
          <w:sz w:val="18"/>
        </w:rPr>
        <w:t xml:space="preserve">bincount</w:t>
      </w:r>
      <w:r>
        <w:t xml:space="preserve">. The obvious Python loop over prediction pairs dominates the round loop at these test set sizes.</w:t>
      </w:r>
    </w:p>
    <w:p>
      <w:pPr>
        <w:pStyle w:val="Heading3"/>
      </w:pPr>
      <w:r>
        <w:t xml:space="preserve">Modifications to the base implementation</w:t>
      </w:r>
    </w:p>
    <w:p>
      <w:pPr/>
      <w:r>
        <w:t xml:space="preserve">Four changes were made, each defaulting to the released behaviour.</w:t>
      </w:r>
    </w:p>
    <w:p>
      <w:pPr>
        <w:jc w:val="center"/>
        <w:spacing w:before="180" w:after="60"/>
      </w:pPr>
      <w:r>
        <w:drawing>
          <wp:inline distT="0" distB="0" distL="0" distR="0">
            <wp:extent cx="5486400" cy="3094576"/>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Fig2"/>
                    <a:stretch>
                      <a:fillRect/>
                    </a:stretch>
                  </pic:blipFill>
                  <pic:spPr>
                    <a:xfrm>
                      <a:off x="0" y="0"/>
                      <a:ext cx="5486400" cy="3094576"/>
                    </a:xfrm>
                    <a:prstGeom prst="rect">
                      <a:avLst/>
                    </a:prstGeom>
                  </pic:spPr>
                </pic:pic>
              </a:graphicData>
            </a:graphic>
          </wp:inline>
        </w:drawing>
      </w:r>
    </w:p>
    <w:p>
      <w:pPr>
        <w:jc w:val="center"/>
        <w:spacing w:after="220"/>
      </w:pPr>
      <w:r>
        <w:rPr>
          <w:b/>
          <w:sz w:val="18"/>
        </w:rPr>
        <w:t xml:space="preserve">Figure 2: </w:t>
      </w:r>
      <w:r>
        <w:rPr>
          <w:sz w:val="18"/>
        </w:rPr>
        <w:t xml:space="preserve">Component structure of the PerMFL path. The clustering module is engaged only under group division 3.</w:t>
      </w:r>
    </w:p>
    <w:p>
      <w:pPr>
        <w:spacing w:before="180" w:after="60"/>
      </w:pPr>
      <w:r>
        <w:rPr>
          <w:b/>
          <w:i/>
        </w:rPr>
        <w:t xml:space="preserve">Argument binding</w:t>
      </w:r>
    </w:p>
    <w:p>
      <w:pPr/>
      <w:r>
        <w:rPr>
          <w:rFonts w:ascii="Consolas" w:hAnsi="Consolas"/>
          <w:sz w:val="18"/>
        </w:rPr>
        <w:t xml:space="preserve">UserPerMFL</w:t>
      </w:r>
      <w:r>
        <w:t xml:space="preserve"> passed five positional arguments into the six parameter slots that follow </w:t>
      </w:r>
      <w:r>
        <w:rPr>
          <w:rFonts w:ascii="Consolas" w:hAnsi="Consolas"/>
          <w:sz w:val="18"/>
        </w:rPr>
        <w:t xml:space="preserve">beta</w:t>
      </w:r>
      <w:r>
        <w:t xml:space="preserve"> in the base class, shifting every subsequent binding by one. The </w:t>
      </w:r>
      <w:r>
        <w:rPr>
          <w:rFonts w:ascii="Consolas" w:hAnsi="Consolas"/>
          <w:sz w:val="18"/>
        </w:rPr>
        <w:t xml:space="preserve">--lamda</w:t>
      </w:r>
      <w:r>
        <w:t xml:space="preserve"> argument was bound to </w:t>
      </w:r>
      <w:r>
        <w:rPr>
          <w:rFonts w:ascii="Consolas" w:hAnsi="Consolas"/>
          <w:sz w:val="18"/>
        </w:rPr>
        <w:t xml:space="preserve">self.eta</w:t>
      </w:r>
      <w:r>
        <w:t xml:space="preserve"> and </w:t>
      </w:r>
      <w:r>
        <w:rPr>
          <w:rFonts w:ascii="Consolas" w:hAnsi="Consolas"/>
          <w:sz w:val="18"/>
        </w:rPr>
        <w:t xml:space="preserve">--local\_iters</w:t>
      </w:r>
      <w:r>
        <w:t xml:space="preserve"> to </w:t>
      </w:r>
      <w:r>
        <w:rPr>
          <w:rFonts w:ascii="Consolas" w:hAnsi="Consolas"/>
          <w:sz w:val="18"/>
        </w:rPr>
        <w:t xml:space="preserve">self.lamda</w:t>
      </w:r>
      <w:r>
        <w:t xml:space="preserve">. The optimiser therefore received a penalty weight of twenty, the local iteration count, rather than the value supplied on the command line. The per-step pull toward the team model was 0.2 where the paper's own setting gives 0.005, a factor of forty.</w:t>
      </w:r>
    </w:p>
    <w:p>
      <w:pPr/>
      <w:r>
        <w:t xml:space="preserve">The correction is keyword arguments. Since </w:t>
      </w:r>
      <w:r>
        <w:rPr>
          <w:rFonts w:ascii="Consolas" w:hAnsi="Consolas"/>
          <w:sz w:val="18"/>
        </w:rPr>
        <w:t xml:space="preserve">self.eta</w:t>
      </w:r>
      <w:r>
        <w:t xml:space="preserve">, </w:t>
      </w:r>
      <w:r>
        <w:rPr>
          <w:rFonts w:ascii="Consolas" w:hAnsi="Consolas"/>
          <w:sz w:val="18"/>
        </w:rPr>
        <w:t xml:space="preserve">self.gamma</w:t>
      </w:r>
      <w:r>
        <w:t xml:space="preserve"> and </w:t>
      </w:r>
      <w:r>
        <w:rPr>
          <w:rFonts w:ascii="Consolas" w:hAnsi="Consolas"/>
          <w:sz w:val="18"/>
        </w:rPr>
        <w:t xml:space="preserve">self.local\_epochs</w:t>
      </w:r>
      <w:r>
        <w:t xml:space="preserve"> are assigned but never read in this class, the penalty weight is the only behavioural change.</w:t>
      </w:r>
    </w:p>
    <w:p>
      <w:pPr>
        <w:spacing w:before="180" w:after="60"/>
      </w:pPr>
      <w:r>
        <w:rPr>
          <w:b/>
          <w:i/>
        </w:rPr>
        <w:t xml:space="preserve">Seeding</w:t>
      </w:r>
    </w:p>
    <w:p>
      <w:pPr/>
      <w:r>
        <w:rPr>
          <w:rFonts w:ascii="Consolas" w:hAnsi="Consolas"/>
          <w:sz w:val="18"/>
        </w:rPr>
        <w:t xml:space="preserve">torch.manual\_seed(0)</w:t>
      </w:r>
      <w:r>
        <w:t xml:space="preserve"> was fixed in the entry point, the loaders fix their own seeds, and client selection seeds on the round index. Under sequential team assignment nothing varied between repeats, so the repeat count produced identical runs and no standard deviation could be reported. This is consistent with the standard deviations of exactly zero reported throughout the base paper's main results table. A seed argument now drives all three.</w:t>
      </w:r>
    </w:p>
    <w:p>
      <w:pPr>
        <w:spacing w:before="180" w:after="60"/>
      </w:pPr>
      <w:r>
        <w:rPr>
          <w:b/>
          <w:i/>
        </w:rPr>
        <w:t xml:space="preserve">Decoupled team weight</w:t>
      </w:r>
    </w:p>
    <w:p>
      <w:pPr/>
      <w:r>
        <w:t xml:space="preserve">Equations~the equation above and~the equation above both contain $\lambda$. Section~(see above) shows the two roles want opposed values. A second argument sets the team-update weight independently, defaulting to the device value so that unmodified behaviour is preserved.</w:t>
      </w:r>
    </w:p>
    <w:p>
      <w:pPr>
        <w:spacing w:before="180" w:after="60"/>
      </w:pPr>
      <w:r>
        <w:rPr>
          <w:b/>
          <w:i/>
        </w:rPr>
        <w:t xml:space="preserve">Team formation from client updates</w:t>
      </w:r>
    </w:p>
    <w:p>
      <w:pPr/>
      <w:r>
        <w:t xml:space="preserve">Teams are assigned in the data loader, before any client has trained, so no update-based grouping can be computed there. A clustering module was added that runs in the server's round loop instead. The signal is the proximal residual $\theta_{i,j} - w_i$, which the device update already computes. It measures how far a device would move given the pull its team exerts, which neither of the comparable methods can use, since neither has a proximal term. Formation follows SCMoE-PFL's procedure: L2 normalisation, PCA, cosine similarity, centres seeded from the least similar pairs. Assignment is hard and size-constrained rather than soft and overlapping, because the server sizes its team arrays statically and divides by per-team sample counts.</w:t>
      </w:r>
    </w:p>
    <w:p>
      <w:pPr>
        <w:pStyle w:val="Heading3"/>
      </w:pPr>
      <w:r>
        <w:t xml:space="preserve">Defects in the base implementation</w:t>
      </w:r>
    </w:p>
    <w:p>
      <w:pPr/>
      <w:r>
        <w:rPr>
          <w:highlight w:val="yellow"/>
        </w:rPr>
        <w:t xml:space="preserve">Sixteen defects were catalogued. Those that affect results are listed here; the remainder appear in Appendix~</w:t>
      </w:r>
      <w:r>
        <w:rPr>
          <w:highlight w:val="red"/>
        </w:rPr>
        <w:t xml:space="preserve">[TO SUPPLY: ref]</w:t>
      </w:r>
      <w:r>
        <w:t xml:space="preserve">.</w:t>
      </w:r>
    </w:p>
    <w:p>
      <w:pPr>
        <w:pStyle w:val="ListParagraph"/>
        <w:numPr>
          <w:ilvl w:val="0"/>
          <w:numId w:val="1"/>
        </w:numPr>
      </w:pPr>
      <w:r>
        <w:rPr>
          <w:b/>
        </w:rPr>
        <w:t xml:space="preserve">Argument binding.</w:t>
      </w:r>
      <w:r>
        <w:t xml:space="preserve">  As above. Silently overrides a documented</w:t>
      </w:r>
    </w:p>
    <w:p>
      <w:pPr/>
      <w:r>
        <w:t xml:space="preserve">hyperparameter.</w:t>
      </w:r>
    </w:p>
    <w:p>
      <w:pPr>
        <w:pStyle w:val="ListParagraph"/>
        <w:numPr>
          <w:ilvl w:val="0"/>
          <w:numId w:val="1"/>
        </w:numPr>
      </w:pPr>
      <w:r>
        <w:rPr>
          <w:b/>
        </w:rPr>
        <w:t xml:space="preserve">Non-reproducible partitioning.</w:t>
      </w:r>
      <w:r>
        <w:t xml:space="preserve">  Random team assignment reseeds on the</w:t>
      </w:r>
    </w:p>
    <w:p>
      <w:pPr/>
      <w:r>
        <w:t xml:space="preserve">wall clock and prints the seed, so teams differ on every run at a fixed     torch seed. The clock seed then propagates into per-round team selection.</w:t>
      </w:r>
    </w:p>
    <w:p>
      <w:pPr>
        <w:pStyle w:val="ListParagraph"/>
        <w:numPr>
          <w:ilvl w:val="0"/>
          <w:numId w:val="1"/>
        </w:numPr>
      </w:pPr>
      <w:r>
        <w:rPr>
          <w:b/>
        </w:rPr>
        <w:t xml:space="preserve">Unseeded synthetic split.</w:t>
      </w:r>
      <w:r>
        <w:t xml:space="preserve">  The synthetic loader seeds numpy but not</w:t>
      </w:r>
    </w:p>
    <w:p>
      <w:pPr/>
      <w:r>
        <w:t xml:space="preserve">Python's random module before the per-client shuffle, so the split differs     between processes. Verified by hashing across three runs.</w:t>
      </w:r>
    </w:p>
    <w:p>
      <w:pPr>
        <w:pStyle w:val="ListParagraph"/>
        <w:numPr>
          <w:ilvl w:val="0"/>
          <w:numId w:val="1"/>
        </w:numPr>
      </w:pPr>
      <w:r>
        <w:rPr>
          <w:b/>
        </w:rPr>
        <w:t xml:space="preserve">Broken partitioning mode.</w:t>
      </w:r>
      <w:r>
        <w:t xml:space="preserve">  One of the three team assignment modes</w:t>
      </w:r>
    </w:p>
    <w:p>
      <w:pPr/>
      <w:r>
        <w:t xml:space="preserve">assigns the return value of an in-place shuffle, which is </w:t>
      </w:r>
      <w:r>
        <w:rPr>
          <w:rFonts w:ascii="Consolas" w:hAnsi="Consolas"/>
          <w:sz w:val="18"/>
        </w:rPr>
        <w:t xml:space="preserve">None</w:t>
      </w:r>
      <w:r>
        <w:t xml:space="preserve">,     then indexes it. That mode has never executed.</w:t>
      </w:r>
    </w:p>
    <w:p>
      <w:pPr>
        <w:pStyle w:val="ListParagraph"/>
        <w:numPr>
          <w:ilvl w:val="0"/>
          <w:numId w:val="1"/>
        </w:numPr>
      </w:pPr>
      <w:r>
        <w:rPr>
          <w:b/>
        </w:rPr>
        <w:t xml:space="preserve">Dataset mislabelling.</w:t>
      </w:r>
      <w:r>
        <w:t xml:space="preserve">  The EMNIST path loads the sixty-two class</w:t>
      </w:r>
    </w:p>
    <w:p>
      <w:pPr/>
      <w:r>
        <w:t xml:space="preserve">by-class split, which the paper distinguishes as a separate dataset. The     paper states the digits split was used.</w:t>
      </w:r>
    </w:p>
    <w:p>
      <w:pPr>
        <w:pStyle w:val="ListParagraph"/>
        <w:numPr>
          <w:ilvl w:val="0"/>
          <w:numId w:val="1"/>
        </w:numPr>
      </w:pPr>
      <w:r>
        <w:rPr>
          <w:b/>
        </w:rPr>
        <w:t xml:space="preserve">Unreachable branch.</w:t>
      </w:r>
      <w:r>
        <w:t xml:space="preserve">  A reshape guard tests a dataset name that differs</w:t>
      </w:r>
    </w:p>
    <w:p>
      <w:pPr/>
      <w:r>
        <w:t xml:space="preserve">in case from the value the parser accepts, so that dataset skips the     reshape and its convolutional path cannot run.</w:t>
      </w:r>
    </w:p>
    <w:p>
      <w:pPr>
        <w:pStyle w:val="ListParagraph"/>
        <w:numPr>
          <w:ilvl w:val="0"/>
          <w:numId w:val="1"/>
        </w:numPr>
      </w:pPr>
      <w:r>
        <w:rPr>
          <w:b/>
        </w:rPr>
        <w:t xml:space="preserve">Silent no-op.</w:t>
      </w:r>
      <w:r>
        <w:t xml:space="preserve">  The experiment counter is both the loop start and</w:t>
      </w:r>
    </w:p>
    <w:p>
      <w:pPr/>
      <w:r>
        <w:t xml:space="preserve">compared against the repeat count, so a start index at or above the repeat     count performs no work and exits zero.</w:t>
      </w:r>
    </w:p>
    <w:p>
      <w:pPr>
        <w:pStyle w:val="ListParagraph"/>
        <w:numPr>
          <w:ilvl w:val="0"/>
          <w:numId w:val="1"/>
        </w:numPr>
      </w:pPr>
      <w:r>
        <w:rPr>
          <w:b/>
        </w:rPr>
        <w:t xml:space="preserve">Result overwriting.</w:t>
      </w:r>
      <w:r>
        <w:t xml:space="preserve">  Output filenames encode the hyperparameters but</w:t>
      </w:r>
    </w:p>
    <w:p>
      <w:pPr/>
      <w:r>
        <w:t xml:space="preserve">not the round count, client count or local iteration count, so runs     differing only in those overwrite each other.</w:t>
      </w:r>
    </w:p>
    <w:p>
      <w:pPr>
        <w:pStyle w:val="ListParagraph"/>
        <w:numPr>
          <w:ilvl w:val="0"/>
          <w:numId w:val="1"/>
        </w:numPr>
      </w:pPr>
      <w:r>
        <w:rPr>
          <w:b/>
        </w:rPr>
        <w:t xml:space="preserve">Unreachable algorithm.</w:t>
      </w:r>
      <w:r>
        <w:t xml:space="preserve">  The parser accepts an algorithm name that the</w:t>
      </w:r>
    </w:p>
    <w:p>
      <w:pPr/>
      <w:r>
        <w:t xml:space="preserve">dispatch does not match, so selecting it raises a name error. It is one of     the base paper's headline comparison methods.</w:t>
      </w:r>
    </w:p>
    <w:p>
      <w:pPr>
        <w:pStyle w:val="ListParagraph"/>
        <w:numPr>
          <w:ilvl w:val="0"/>
          <w:numId w:val="1"/>
        </w:numPr>
      </w:pPr>
      <w:r>
        <w:rPr>
          <w:b/>
        </w:rPr>
        <w:t xml:space="preserve">Broken aggregation helper.</w:t>
      </w:r>
      <w:r>
        <w:t xml:space="preserve">  The routine that averages results across</w:t>
      </w:r>
    </w:p>
    <w:p>
      <w:pPr/>
      <w:r>
        <w:t xml:space="preserve">repeats is commented out at its call site and passes two arguments to a     three-argument definition.</w:t>
      </w:r>
    </w:p>
    <w:p>
      <w:pPr>
        <w:pStyle w:val="ListParagraph"/>
        <w:numPr>
          <w:ilvl w:val="0"/>
          <w:numId w:val="1"/>
        </w:numPr>
      </w:pPr>
      <w:r>
        <w:rPr>
          <w:b/>
        </w:rPr>
        <w:t xml:space="preserve">Missing regularisation.</w:t>
      </w:r>
      <w:r>
        <w:t xml:space="preserve">  Appendix D.3 describes multinomial logistic</w:t>
      </w:r>
    </w:p>
    <w:p>
      <w:pPr/>
      <w:r>
        <w:t xml:space="preserve">regression with L2 regularisation. No weight decay or penalty term appears     anywhere in the repository. This matters for the strongly convex     convergence result, whose step size bound depends on a strong convexity     modulus that is zero without it.</w:t>
      </w:r>
    </w:p>
    <w:p>
      <w:pPr>
        <w:pStyle w:val="ListParagraph"/>
        <w:numPr>
          <w:ilvl w:val="0"/>
          <w:numId w:val="1"/>
        </w:numPr>
      </w:pPr>
      <w:r>
        <w:rPr>
          <w:b/>
        </w:rPr>
        <w:t xml:space="preserve">Model depth.</w:t>
      </w:r>
      <w:r>
        <w:t xml:space="preserve">  Sections 4 and D.3 describe networks with two hidden</w:t>
      </w:r>
    </w:p>
    <w:p>
      <w:pPr/>
      <w:r>
        <w:t xml:space="preserve">layers. The implementation has one. Both were measured; the paper's     description performs worse on this data by 0.011 to 0.021 macro F1.</w:t>
      </w:r>
    </w:p>
    <w:p>
      <w:r>
        <w:br w:type="page"/>
      </w:r>
    </w:p>
    <w:p>
      <w:pPr>
        <w:pStyle w:val="Heading2"/>
      </w:pPr>
      <w:r>
        <w:t xml:space="preserve">Testing and Verification</w:t>
      </w:r>
    </w:p>
    <w:p>
      <w:pPr/>
      <w:r>
        <w:t xml:space="preserve">Nothing in this project is user-facing, so testing means establishing that the pipeline produces what it claims and that measured differences come from the change under test. This chapter records how each part was verified and which checks caught real errors.</w:t>
      </w:r>
    </w:p>
    <w:p>
      <w:pPr>
        <w:pStyle w:val="Heading3"/>
      </w:pPr>
      <w:r>
        <w:t xml:space="preserve">Verifying the reproduction</w:t>
      </w:r>
    </w:p>
    <w:p>
      <w:pPr/>
      <w:r>
        <w:t xml:space="preserve">The first test was whether the unmodified implementation reproduces its published result. Running it on EMNIST-10 for four hundred global rounds gave a peak personalised accuracy of 96.45 per cent against the 96.49 reported in the paper, a difference of 0.04 percentage points.</w:t>
      </w:r>
    </w:p>
    <w:p>
      <w:pPr/>
      <w:r>
        <w:rPr>
          <w:highlight w:val="yellow"/>
        </w:rPr>
        <w:t xml:space="preserve">This matters more than a sanity check. The run carries the argument binding defect, since it is present in the released code, and it still lands on the published figure. That is evidence the defect was present when the paper's results were produced, and it licenses treating later measurements as changes to the method rather than symptoms of a broken build.</w:t>
      </w:r>
    </w:p>
    <w:p>
      <w:pPr>
        <w:pStyle w:val="Heading3"/>
      </w:pPr>
      <w:r>
        <w:t xml:space="preserve">Loader invariants</w:t>
      </w:r>
    </w:p>
    <w:p>
      <w:pPr/>
      <w:r>
        <w:t xml:space="preserve">Each loader is checked against six invariants before use.</w:t>
      </w:r>
    </w:p>
    <w:p>
      <w:pPr/>
      <w:r>
        <w:t xml:space="preserve">No row appears in both the training and evaluation split for a client. Every class present in the corpus appears in both the pooled training and pooled evaluation sets. The pooled training features have approximately zero mean and unit standard deviation, confirming the scaler was fitted and applied. No non-finite values survive. The per-client, per-class split ratio lies within 0.70 and 0.80 of the intended 0.75. No client is empty and no team is empty.</w:t>
      </w:r>
    </w:p>
    <w:p>
      <w:pPr/>
      <w:r>
        <w:t xml:space="preserve">The team check exists because it caught a real defect. One loader's sequential assignment hardcodes its group boundaries to two specific client indices rather than computing them, which at forty clients produces groups of eleven, twenty-six and three and leaves the fourth team with no members. A team with no members divides by zero when its sample proportion is computed.</w:t>
      </w:r>
    </w:p>
    <w:p>
      <w:pPr>
        <w:pStyle w:val="Heading3"/>
      </w:pPr>
      <w:r>
        <w:t xml:space="preserve">Errors the checks caught</w:t>
      </w:r>
    </w:p>
    <w:p>
      <w:pPr/>
      <w:r>
        <w:t xml:space="preserve">Four errors reached a run before being caught, and the way each surfaced is worth recording.</w:t>
      </w:r>
    </w:p>
    <w:p>
      <w:pPr>
        <w:spacing w:before="180" w:after="60"/>
      </w:pPr>
      <w:r>
        <w:rPr>
          <w:b/>
          <w:i/>
        </w:rPr>
        <w:t xml:space="preserve">A split that produced empty test classes</w:t>
      </w:r>
    </w:p>
    <w:p>
      <w:pPr/>
      <w:r>
        <w:t xml:space="preserve">The first temporal split ordered each client's rows by time and cut at seventy-five per cent. Attacks in CICIDS2017 occupy contiguous windows, so this gave the evaluation set whichever attack ran last and placed the others entirely in training. Wednesday clients trained on 2,913 denial-of-service samples and were evaluated on none.</w:t>
      </w:r>
    </w:p>
    <w:p>
      <w:pPr/>
      <w:r>
        <w:t xml:space="preserve">The symptom was not an exception. It was that the personalised models scored 0.45 accuracy where a classifier that always predicts benign scores 0.82. A model below the majority-class baseline indicates a setup fault rather than a weak method, and that comparison is the check that caught it. The correction is to split each class on its own timeline.</w:t>
      </w:r>
    </w:p>
    <w:p>
      <w:pPr>
        <w:spacing w:before="180" w:after="60"/>
      </w:pPr>
      <w:r>
        <w:rPr>
          <w:b/>
          <w:i/>
        </w:rPr>
        <w:t xml:space="preserve">A control flow error that passed the syntax check</w:t>
      </w:r>
    </w:p>
    <w:p>
      <w:pPr/>
      <w:r>
        <w:t xml:space="preserve">A guard inserted between a conditional branch and its trailing </w:t>
      </w:r>
      <w:r>
        <w:rPr>
          <w:rFonts w:ascii="Consolas" w:hAnsi="Consolas"/>
          <w:sz w:val="18"/>
        </w:rPr>
        <w:t xml:space="preserve">else</w:t>
      </w:r>
      <w:r>
        <w:t xml:space="preserve"> turned the construct into a </w:t>
      </w:r>
      <w:r>
        <w:rPr>
          <w:rFonts w:ascii="Consolas" w:hAnsi="Consolas"/>
          <w:sz w:val="18"/>
        </w:rPr>
        <w:t xml:space="preserve">for</w:t>
      </w:r>
      <w:r>
        <w:t xml:space="preserve">-</w:t>
      </w:r>
      <w:r>
        <w:rPr>
          <w:rFonts w:ascii="Consolas" w:hAnsi="Consolas"/>
          <w:sz w:val="18"/>
        </w:rPr>
        <w:t xml:space="preserve">else</w:t>
      </w:r>
      <w:r>
        <w:t xml:space="preserve">, which is valid Python. The </w:t>
      </w:r>
      <w:r>
        <w:rPr>
          <w:rFonts w:ascii="Consolas" w:hAnsi="Consolas"/>
          <w:sz w:val="18"/>
        </w:rPr>
        <w:t xml:space="preserve">else</w:t>
      </w:r>
      <w:r>
        <w:t xml:space="preserve"> then bound to the loop and raised on every call. Eight queued runs each exited in three seconds. The parser had accepted the file.</w:t>
      </w:r>
    </w:p>
    <w:p>
      <w:pPr/>
      <w:r>
        <w:t xml:space="preserve">The lesson recorded here is that a syntax check is not an execution check. Every subsequent queue was preceded by a single short run of the same configuration.</w:t>
      </w:r>
    </w:p>
    <w:p>
      <w:pPr>
        <w:spacing w:before="180" w:after="60"/>
      </w:pPr>
      <w:r>
        <w:rPr>
          <w:b/>
          <w:i/>
        </w:rPr>
        <w:t xml:space="preserve">An undefined name from statement ordering</w:t>
      </w:r>
    </w:p>
    <w:p>
      <w:pPr/>
      <w:r>
        <w:t xml:space="preserve">A module-level assignment reading an environment variable was inserted above the import that provides the module it calls. Forty-six queued runs failed identically. Again the file parsed.</w:t>
      </w:r>
    </w:p>
    <w:p>
      <w:pPr>
        <w:spacing w:before="180" w:after="60"/>
      </w:pPr>
      <w:r>
        <w:rPr>
          <w:b/>
          <w:i/>
        </w:rPr>
        <w:t xml:space="preserve">A metric measured against a moving target</w:t>
      </w:r>
    </w:p>
    <w:p>
      <w:pPr/>
      <w:r>
        <w:t xml:space="preserve">Benign thinning was initially applied before the train and test split, so it thinned both. The accuracy floor moved from 0.8171 to 0.7008, meaning comparisons across thinning settings sat on different evaluation targets. The correction, following the reference implementation, applies thinning to the training split only, leaving the evaluation set at its natural class balance. The floors are now constant across settings.</w:t>
      </w:r>
    </w:p>
    <w:p>
      <w:pPr>
        <w:pStyle w:val="Heading3"/>
      </w:pPr>
      <w:r>
        <w:t xml:space="preserve">Verifying the modifications</w:t>
      </w:r>
    </w:p>
    <w:p>
      <w:pPr/>
      <w:r>
        <w:t xml:space="preserve">Each modification was verified by measuring the quantity it was supposed to change.</w:t>
      </w:r>
    </w:p>
    <w:p>
      <w:pPr/>
      <w:r>
        <w:t xml:space="preserve">For the argument binding fix, the optimiser's penalty weight was read directly before and after: twenty before, matching the local iteration count, and the supplied value after. The per-step pull changed from 0.2 to 0.05 as predicted.</w:t>
      </w:r>
    </w:p>
    <w:p>
      <w:pPr/>
      <w:r>
        <w:t xml:space="preserve">For seeding, an identical configuration was run at two seeds and the results compared. Before the change they were identical to four decimal places; after it they differed.</w:t>
      </w:r>
    </w:p>
    <w:p>
      <w:pPr/>
      <w:r>
        <w:t xml:space="preserve">For the synthetic split fix, the split was hashed across three separate processes. Before the change the three hashes differed; after, they matched.</w:t>
      </w:r>
    </w:p>
    <w:p>
      <w:pPr/>
      <w:r>
        <w:t xml:space="preserve">The clustering module was tested against synthetic data with known group structure: twenty points drawn from five well-separated latent clusters. It recovered them at an adjusted Rand index of 0.762 with equal group sizes, and the trigger fired on separated data while holding off on near-identical data.</w:t>
      </w:r>
    </w:p>
    <w:p>
      <w:pPr>
        <w:pStyle w:val="Heading3"/>
      </w:pPr>
      <w:r>
        <w:t xml:space="preserve">Establishing what counts as a difference</w:t>
      </w:r>
    </w:p>
    <w:p>
      <w:pPr/>
      <w:r>
        <w:t xml:space="preserve">A measurement is only interpretable against the variation of the measurement itself. Two runs of an identical configuration, differing only in their position in the experiment schedule, gave personalised macro F1 of 0.7318 and 0.7244, a difference of 0.0074.</w:t>
      </w:r>
    </w:p>
    <w:p>
      <w:pPr/>
      <w:r>
        <w:t xml:space="preserve">Differences below roughly 0.01 are therefore not distinguishable from run-to-run variation, and a threshold of 0.03 was adopted before results were examined. Several comparisons fall below it and are reported as null rather than as small effects. The largest such is 0.0016, which is an order of magnitude inside the floor.</w:t>
      </w:r>
    </w:p>
    <w:p>
      <w:pPr>
        <w:pStyle w:val="Heading3"/>
      </w:pPr>
      <w:r>
        <w:t xml:space="preserve">What was not tested</w:t>
      </w:r>
    </w:p>
    <w:p>
      <w:pPr/>
      <w:r>
        <w:t xml:space="preserve">There is no unit test suite. The base implementation ships none, and adding one would have meant characterising behaviour the project set out to question. Verification here is at the level of measured invariants and reproduced published figures, which suits an experimental study but would not suit software intended for use.</w:t>
      </w:r>
    </w:p>
    <w:p>
      <w:pPr/>
      <w:r>
        <w:t xml:space="preserve">The CUDA path is untested. All experiments ran on CPU and no GPU was available. The device selection logic is exercised only in its CPU branch.</w:t>
      </w:r>
    </w:p>
    <w:p>
      <w:r>
        <w:br w:type="page"/>
      </w:r>
    </w:p>
    <w:p>
      <w:pPr>
        <w:pStyle w:val="Heading2"/>
      </w:pPr>
      <w:r>
        <w:t xml:space="preserve">Evaluation</w:t>
      </w:r>
    </w:p>
    <w:p>
      <w:pPr/>
      <w:r>
        <w:t xml:space="preserve">This chapter presents the results and evaluates them. Section~(see above) tests the architectural premise, Section~(see above) explains the mechanism behind the failure, Section~(see above) evaluates the correction, and Section~(see above) assesses the work as a whole including what it does not establish.</w:t>
      </w:r>
    </w:p>
    <w:p>
      <w:pPr/>
      <w:r>
        <w:t xml:space="preserve">Every result reports the floor a majority-class classifier achieves. Where the evaluation protocol imposes one, the structural ceiling is reported too.</w:t>
      </w:r>
    </w:p>
    <w:p>
      <w:pPr>
        <w:pStyle w:val="Heading3"/>
      </w:pPr>
      <w:r>
        <w:t xml:space="preserve">Does the team tier contribute?</w:t>
      </w:r>
    </w:p>
    <w:p>
      <w:pPr/>
      <w:r>
        <w:t xml:space="preserve">PerMFL's premise is that it applies when known team structures exist across devices. The direct test is to vary the team structure and measure the effect.</w:t>
      </w:r>
    </w:p>
    <w:p>
      <w:pPr>
        <w:jc w:val="center"/>
        <w:spacing w:before="180" w:after="60"/>
      </w:pPr>
      <w:r>
        <w:drawing>
          <wp:inline distT="0" distB="0" distL="0" distR="0">
            <wp:extent cx="5486400" cy="1416785"/>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Fig3"/>
                    <a:stretch>
                      <a:fillRect/>
                    </a:stretch>
                  </pic:blipFill>
                  <pic:spPr>
                    <a:xfrm>
                      <a:off x="0" y="0"/>
                      <a:ext cx="5486400" cy="1416785"/>
                    </a:xfrm>
                    <a:prstGeom prst="rect">
                      <a:avLst/>
                    </a:prstGeom>
                  </pic:spPr>
                </pic:pic>
              </a:graphicData>
            </a:graphic>
          </wp:inline>
        </w:drawing>
      </w:r>
    </w:p>
    <w:p>
      <w:pPr>
        <w:jc w:val="center"/>
        <w:spacing w:after="220"/>
      </w:pPr>
      <w:r>
        <w:rPr>
          <w:b/>
          <w:sz w:val="18"/>
        </w:rPr>
        <w:t xml:space="preserve">Figure 3: </w:t>
      </w:r>
      <w:r>
        <w:rPr>
          <w:sz w:val="18"/>
        </w:rPr>
        <w:t xml:space="preserve">Global model macro F1 against global round, four datasets, both arms. The shaded band spans the seeds.</w:t>
      </w:r>
    </w:p>
    <w:p>
      <w:pPr/>
      <w:r>
        <w:t xml:space="preserve">Two experiments were run. The first compares team assignments: teams matching the true attack domains, teams assigned at random, and teams derived from client updates during training. The second removes the tier by setting the team count to one, holding the total local computation constant so that the comparison is not confounded by training volume.</w:t>
      </w:r>
    </w:p>
    <w:p>
      <w:pPr/>
      <w:r>
        <w:t xml:space="preserve">Across three datasets the result is the same. On CICIDS2017, moving from one team to ten changes personalised macro F1 by 0.0002. On EMNIST-10, the base paper's own dataset at its own parameter setting, the change is 0.0000. On NSL-KDD it is 0.0011. Against a measured noise floor of 0.0116, all three are unmeasurable.</w:t>
      </w:r>
    </w:p>
    <w:p>
      <w:pPr/>
      <w:r>
        <w:t xml:space="preserve">Assignment makes no difference either. Teams matching the true day-domains do not beat random assignment on any dataset, and derived teams do not beat either. The largest difference across five such comparisons is 0.0016.</w:t>
      </w:r>
    </w:p>
    <w:p>
      <w:pPr/>
      <w:r>
        <w:t xml:space="preserve">One configuration does show an effect. At $\lambda = 1.5$ the tier contributes 0.0342 macro F1 on CICIDS2017, above the threshold. But the paper's own convergence condition requires $\gamma &gt; 2\lambda$, which at $\gamma = 1.5$ caps $\lambda$ below 0.75. The setting where the tier does something lies outside the region the theory permits. Within that region the contribution is at most 0.0221, and operating there costs 0.157 macro F1 relative to the tuned setting where the tier does nothing.</w:t>
      </w:r>
    </w:p>
    <w:p>
      <w:pPr>
        <w:pStyle w:val="Heading3"/>
      </w:pPr>
      <w:r>
        <w:t xml:space="preserve">Why: one parameter, two jobs</w:t>
      </w:r>
    </w:p>
    <w:p>
      <w:pPr/>
      <w:r>
        <w:t xml:space="preserve">The explanation is in the update rule rather than in the results.</w:t>
      </w:r>
    </w:p>
    <w:p>
      <w:pPr/>
      <w:r>
        <w:t xml:space="preserve">$\lambda$ appears twice. In the device update the equation above it scales the penalty pulling a device toward its team, so a smaller value permits more personalisation. In the team update the equation above it weights $\bar{\theta}_i$, the average of the team's members, which is the only term in that equation carrying any information about who is in the team.</w:t>
      </w:r>
    </w:p>
    <w:p>
      <w:pPr/>
      <w:r>
        <w:t xml:space="preserve">The relative weight of that term is $\lambda\eta / \eta\gamma = \lambda/\gamma$. At the tuned setting of $\lambda = 0.05$ with $\gamma = 1.5$, the members' average is weighted 0.0015 against a pull of 0.045 toward the global model, so membership influences the team model by 3.3 per cent. The team model is effectively a copy of the global model, which is why the number of teams makes no difference.</w:t>
      </w:r>
    </w:p>
    <w:p>
      <w:pPr/>
      <w:r>
        <w:t xml:space="preserve">The convergence condition bounds this. Since $\gamma &gt; 2\lambda$ implies $\lambda/\gamma &lt; 0.5$, a team model can never take more than half its update from its own members within the region the theory permits.</w:t>
      </w:r>
    </w:p>
    <w:p>
      <w:pPr/>
      <w:r>
        <w:t xml:space="preserve">Tracing the consequence for the global model: substituting $w = x$ at the start of a round gives $w \approx 0.9985x + 0.0015\bar{\theta}$, and after the global update the server model moves by roughly 0.00135 of the direction its devices indicate. Over ten rounds it travels about 1.35 per cent from its initialisation. The measured global accuracy of 0.0495 on nine classes, below the 0.111 a uniform random classifier achieves, is consistent with a model that has not left its starting point.</w:t>
      </w:r>
    </w:p>
    <w:p>
      <w:pPr/>
      <w:r>
        <w:t xml:space="preserve">The two roles want opposite values. Personalisation wants $\lambda$ small; a functional global model wants it comparable to $\gamma$. The published parameterisation forces a choice.</w:t>
      </w:r>
    </w:p>
    <w:p>
      <w:pPr>
        <w:pStyle w:val="Heading3"/>
      </w:pPr>
      <w:r>
        <w:t xml:space="preserve">Decoupling the two roles</w:t>
      </w:r>
    </w:p>
    <w:p>
      <w:pPr/>
      <w:r>
        <w:t xml:space="preserve">Separating them is a one-parameter change. The device penalty keeps $\lambda$; the team update takes an independent weight.</w:t>
      </w:r>
    </w:p>
    <w:p>
      <w:pPr>
        <w:spacing w:before="180" w:after="60"/>
      </w:pPr>
      <w:r>
        <w:rPr>
          <w:b/>
          <w:i/>
        </w:rPr>
        <w:t xml:space="preserve">Headline comparison</w:t>
      </w:r>
    </w:p>
    <w:p>
      <w:pPr/>
      <w:r>
        <w:t xml:space="preserve">On CICIDS2017 with attack-domain partitioning, benign traffic thinned to twenty-five per cent of the training split, and evaluation on unseen classes, across five paired seeds:</w:t>
      </w:r>
    </w:p>
    <w:tbl>
      <w:tblPr>
        <w:tblStyle w:val="TableGrid"/>
        <w:tblW w:w="9020" w:type="dxa"/>
      </w:tblPr>
      <w:tblGrid>
        <w:gridCol w:w="1804"/>
        <w:gridCol w:w="1804"/>
        <w:gridCol w:w="1804"/>
        <w:gridCol w:w="1804"/>
        <w:gridCol w:w="1804"/>
      </w:tblGrid>
      <w:tr>
        <w:tc>
          <w:tcPr>
            <w:tcW w:w="1804" w:type="dxa"/>
            <w:shd w:val="clear" w:color="auto" w:fill="EDEDED"/>
          </w:tcPr>
          <w:p>
            <w:pPr>
              <w:spacing w:before="20" w:after="20"/>
            </w:pPr>
            <w:r>
              <w:rPr>
                <w:b/>
                <w:sz w:val="17"/>
              </w:rPr>
              <w:t xml:space="preserve">metric</w:t>
            </w:r>
          </w:p>
        </w:tc>
        <w:tc>
          <w:tcPr>
            <w:tcW w:w="1804" w:type="dxa"/>
            <w:shd w:val="clear" w:color="auto" w:fill="EDEDED"/>
          </w:tcPr>
          <w:p>
            <w:pPr>
              <w:spacing w:before="20" w:after="20"/>
            </w:pPr>
            <w:r>
              <w:rPr>
                <w:b/>
                <w:sz w:val="17"/>
              </w:rPr>
              <w:t xml:space="preserve">PerMFL</w:t>
            </w:r>
          </w:p>
        </w:tc>
        <w:tc>
          <w:tcPr>
            <w:tcW w:w="1804" w:type="dxa"/>
            <w:shd w:val="clear" w:color="auto" w:fill="EDEDED"/>
          </w:tcPr>
          <w:p>
            <w:pPr>
              <w:spacing w:before="20" w:after="20"/>
            </w:pPr>
            <w:r>
              <w:rPr>
                <w:b/>
                <w:sz w:val="17"/>
              </w:rPr>
              <w:t xml:space="preserve">Split-λ</w:t>
            </w:r>
          </w:p>
        </w:tc>
        <w:tc>
          <w:tcPr>
            <w:tcW w:w="1804" w:type="dxa"/>
            <w:shd w:val="clear" w:color="auto" w:fill="EDEDED"/>
          </w:tcPr>
          <w:p>
            <w:pPr>
              <w:spacing w:before="20" w:after="20"/>
            </w:pPr>
            <w:r>
              <w:rPr>
                <w:b/>
                <w:sz w:val="17"/>
              </w:rPr>
              <w:t xml:space="preserve">difference</w:t>
            </w:r>
          </w:p>
        </w:tc>
        <w:tc>
          <w:tcPr>
            <w:tcW w:w="1804" w:type="dxa"/>
            <w:shd w:val="clear" w:color="auto" w:fill="EDEDED"/>
          </w:tcPr>
          <w:p>
            <w:pPr>
              <w:spacing w:before="20" w:after="20"/>
            </w:pPr>
            <w:r>
              <w:rPr>
                <w:b/>
                <w:sz w:val="17"/>
              </w:rPr>
              <w:t xml:space="preserve">paired t</w:t>
            </w:r>
          </w:p>
        </w:tc>
      </w:tr>
      <w:tr>
        <w:tc>
          <w:tcPr>
            <w:tcW w:w="1804" w:type="dxa"/>
          </w:tcPr>
          <w:p>
            <w:pPr>
              <w:spacing w:before="20" w:after="20"/>
            </w:pPr>
            <w:r>
              <w:rPr>
                <w:sz w:val="17"/>
              </w:rPr>
              <w:t xml:space="preserve">Personal macro F1</w:t>
            </w:r>
          </w:p>
        </w:tc>
        <w:tc>
          <w:tcPr>
            <w:tcW w:w="1804" w:type="dxa"/>
          </w:tcPr>
          <w:p>
            <w:pPr>
              <w:spacing w:before="20" w:after="20"/>
            </w:pPr>
            <w:r>
              <w:rPr>
                <w:sz w:val="17"/>
              </w:rPr>
              <w:t xml:space="preserve">0.4182 pm 0.0364</w:t>
            </w:r>
          </w:p>
        </w:tc>
        <w:tc>
          <w:tcPr>
            <w:tcW w:w="1804" w:type="dxa"/>
          </w:tcPr>
          <w:p>
            <w:pPr>
              <w:spacing w:before="20" w:after="20"/>
            </w:pPr>
            <w:r>
              <w:rPr>
                <w:sz w:val="17"/>
              </w:rPr>
              <w:t xml:space="preserve">0.5086 pm 0.0168</w:t>
            </w:r>
          </w:p>
        </w:tc>
        <w:tc>
          <w:tcPr>
            <w:tcW w:w="1804" w:type="dxa"/>
          </w:tcPr>
          <w:p>
            <w:pPr>
              <w:spacing w:before="20" w:after="20"/>
            </w:pPr>
            <w:r>
              <w:rPr>
                <w:sz w:val="17"/>
              </w:rPr>
              <w:t xml:space="preserve">+0.0904</w:t>
            </w:r>
          </w:p>
        </w:tc>
        <w:tc>
          <w:tcPr>
            <w:tcW w:w="1804" w:type="dxa"/>
          </w:tcPr>
          <w:p>
            <w:pPr>
              <w:spacing w:before="20" w:after="20"/>
            </w:pPr>
            <w:r>
              <w:rPr>
                <w:sz w:val="17"/>
              </w:rPr>
              <w:t xml:space="preserve">4.29</w:t>
            </w:r>
          </w:p>
        </w:tc>
      </w:tr>
      <w:tr>
        <w:tc>
          <w:tcPr>
            <w:tcW w:w="1804" w:type="dxa"/>
          </w:tcPr>
          <w:p>
            <w:pPr>
              <w:spacing w:before="20" w:after="20"/>
            </w:pPr>
            <w:r>
              <w:rPr>
                <w:sz w:val="17"/>
              </w:rPr>
              <w:t xml:space="preserve">Personal accuracy</w:t>
            </w:r>
          </w:p>
        </w:tc>
        <w:tc>
          <w:tcPr>
            <w:tcW w:w="1804" w:type="dxa"/>
          </w:tcPr>
          <w:p>
            <w:pPr>
              <w:spacing w:before="20" w:after="20"/>
            </w:pPr>
            <w:r>
              <w:rPr>
                <w:sz w:val="17"/>
              </w:rPr>
              <w:t xml:space="preserve">0.8390 pm 0.0081</w:t>
            </w:r>
          </w:p>
        </w:tc>
        <w:tc>
          <w:tcPr>
            <w:tcW w:w="1804" w:type="dxa"/>
          </w:tcPr>
          <w:p>
            <w:pPr>
              <w:spacing w:before="20" w:after="20"/>
            </w:pPr>
            <w:r>
              <w:rPr>
                <w:sz w:val="17"/>
              </w:rPr>
              <w:t xml:space="preserve">0.9041 pm 0.0107</w:t>
            </w:r>
          </w:p>
        </w:tc>
        <w:tc>
          <w:tcPr>
            <w:tcW w:w="1804" w:type="dxa"/>
          </w:tcPr>
          <w:p>
            <w:pPr>
              <w:spacing w:before="20" w:after="20"/>
            </w:pPr>
            <w:r>
              <w:rPr>
                <w:sz w:val="17"/>
              </w:rPr>
              <w:t xml:space="preserve">+0.0651</w:t>
            </w:r>
          </w:p>
        </w:tc>
        <w:tc>
          <w:tcPr>
            <w:tcW w:w="1804" w:type="dxa"/>
          </w:tcPr>
          <w:p>
            <w:pPr>
              <w:spacing w:before="20" w:after="20"/>
            </w:pPr>
            <w:r>
              <w:rPr>
                <w:sz w:val="17"/>
              </w:rPr>
              <w:t xml:space="preserve">9.28</w:t>
            </w:r>
          </w:p>
        </w:tc>
      </w:tr>
      <w:tr>
        <w:tc>
          <w:tcPr>
            <w:tcW w:w="1804" w:type="dxa"/>
          </w:tcPr>
          <w:p>
            <w:pPr>
              <w:spacing w:before="20" w:after="20"/>
            </w:pPr>
            <w:r>
              <w:rPr>
                <w:sz w:val="17"/>
              </w:rPr>
              <w:t xml:space="preserve">Global macro F1</w:t>
            </w:r>
          </w:p>
        </w:tc>
        <w:tc>
          <w:tcPr>
            <w:tcW w:w="1804" w:type="dxa"/>
          </w:tcPr>
          <w:p>
            <w:pPr>
              <w:spacing w:before="20" w:after="20"/>
            </w:pPr>
            <w:r>
              <w:rPr>
                <w:sz w:val="17"/>
              </w:rPr>
              <w:t xml:space="preserve">0.1165 pm 0.0178</w:t>
            </w:r>
          </w:p>
        </w:tc>
        <w:tc>
          <w:tcPr>
            <w:tcW w:w="1804" w:type="dxa"/>
          </w:tcPr>
          <w:p>
            <w:pPr>
              <w:spacing w:before="20" w:after="20"/>
            </w:pPr>
            <w:r>
              <w:rPr>
                <w:sz w:val="17"/>
              </w:rPr>
              <w:t xml:space="preserve">0.2457 pm 0.0064</w:t>
            </w:r>
          </w:p>
        </w:tc>
        <w:tc>
          <w:tcPr>
            <w:tcW w:w="1804" w:type="dxa"/>
          </w:tcPr>
          <w:p>
            <w:pPr>
              <w:spacing w:before="20" w:after="20"/>
            </w:pPr>
            <w:r>
              <w:rPr>
                <w:sz w:val="17"/>
              </w:rPr>
              <w:t xml:space="preserve">+0.1292</w:t>
            </w:r>
          </w:p>
        </w:tc>
        <w:tc>
          <w:tcPr>
            <w:tcW w:w="1804" w:type="dxa"/>
          </w:tcPr>
          <w:p>
            <w:pPr>
              <w:spacing w:before="20" w:after="20"/>
            </w:pPr>
            <w:r>
              <w:rPr>
                <w:sz w:val="17"/>
              </w:rPr>
              <w:t xml:space="preserve">15.68</w:t>
            </w:r>
          </w:p>
        </w:tc>
      </w:tr>
      <w:tr>
        <w:tc>
          <w:tcPr>
            <w:tcW w:w="1804" w:type="dxa"/>
          </w:tcPr>
          <w:p>
            <w:pPr>
              <w:spacing w:before="20" w:after="20"/>
            </w:pPr>
            <w:r>
              <w:rPr>
                <w:sz w:val="17"/>
              </w:rPr>
              <w:t xml:space="preserve">Global accuracy</w:t>
            </w:r>
          </w:p>
        </w:tc>
        <w:tc>
          <w:tcPr>
            <w:tcW w:w="1804" w:type="dxa"/>
          </w:tcPr>
          <w:p>
            <w:pPr>
              <w:spacing w:before="20" w:after="20"/>
            </w:pPr>
            <w:r>
              <w:rPr>
                <w:sz w:val="17"/>
              </w:rPr>
              <w:t xml:space="preserve">0.7545 pm 0.0497</w:t>
            </w:r>
          </w:p>
        </w:tc>
        <w:tc>
          <w:tcPr>
            <w:tcW w:w="1804" w:type="dxa"/>
          </w:tcPr>
          <w:p>
            <w:pPr>
              <w:spacing w:before="20" w:after="20"/>
            </w:pPr>
            <w:r>
              <w:rPr>
                <w:sz w:val="17"/>
              </w:rPr>
              <w:t xml:space="preserve">0.8626 pm 0.0013</w:t>
            </w:r>
          </w:p>
        </w:tc>
        <w:tc>
          <w:tcPr>
            <w:tcW w:w="1804" w:type="dxa"/>
          </w:tcPr>
          <w:p>
            <w:pPr>
              <w:spacing w:before="20" w:after="20"/>
            </w:pPr>
            <w:r>
              <w:rPr>
                <w:sz w:val="17"/>
              </w:rPr>
              <w:t xml:space="preserve">+0.1081</w:t>
            </w:r>
          </w:p>
        </w:tc>
        <w:tc>
          <w:tcPr>
            <w:tcW w:w="1804" w:type="dxa"/>
          </w:tcPr>
          <w:p>
            <w:pPr>
              <w:spacing w:before="20" w:after="20"/>
            </w:pPr>
            <w:r>
              <w:rPr>
                <w:sz w:val="17"/>
              </w:rPr>
              <w:t xml:space="preserve">4.76</w:t>
            </w:r>
          </w:p>
        </w:tc>
      </w:tr>
      <w:tr>
        <w:tc>
          <w:tcPr>
            <w:tcW w:w="1804" w:type="dxa"/>
          </w:tcPr>
          <w:p>
            <w:pPr>
              <w:spacing w:before="20" w:after="20"/>
            </w:pPr>
            <w:r>
              <w:rPr>
                <w:sz w:val="17"/>
              </w:rPr>
              <w:t xml:space="preserve">Global macro recall</w:t>
            </w:r>
          </w:p>
        </w:tc>
        <w:tc>
          <w:tcPr>
            <w:tcW w:w="1804" w:type="dxa"/>
          </w:tcPr>
          <w:p>
            <w:pPr>
              <w:spacing w:before="20" w:after="20"/>
            </w:pPr>
            <w:r>
              <w:rPr>
                <w:sz w:val="17"/>
              </w:rPr>
              <w:t xml:space="preserve">0.1604 pm 0.0370</w:t>
            </w:r>
          </w:p>
        </w:tc>
        <w:tc>
          <w:tcPr>
            <w:tcW w:w="1804" w:type="dxa"/>
          </w:tcPr>
          <w:p>
            <w:pPr>
              <w:spacing w:before="20" w:after="20"/>
            </w:pPr>
            <w:r>
              <w:rPr>
                <w:sz w:val="17"/>
              </w:rPr>
              <w:t xml:space="preserve">0.2269 pm 0.0043</w:t>
            </w:r>
          </w:p>
        </w:tc>
        <w:tc>
          <w:tcPr>
            <w:tcW w:w="1804" w:type="dxa"/>
          </w:tcPr>
          <w:p>
            <w:pPr>
              <w:spacing w:before="20" w:after="20"/>
            </w:pPr>
            <w:r>
              <w:rPr>
                <w:sz w:val="17"/>
              </w:rPr>
              <w:t xml:space="preserve">+0.0664</w:t>
            </w:r>
          </w:p>
        </w:tc>
        <w:tc>
          <w:tcPr>
            <w:tcW w:w="1804" w:type="dxa"/>
          </w:tcPr>
          <w:p>
            <w:pPr>
              <w:spacing w:before="20" w:after="20"/>
            </w:pPr>
            <w:r>
              <w:rPr>
                <w:sz w:val="17"/>
              </w:rPr>
              <w:t xml:space="preserve">4.07</w:t>
            </w:r>
          </w:p>
        </w:tc>
      </w:tr>
    </w:tbl>
    <w:p/>
    <w:p>
      <w:pPr/>
      <w:r>
        <w:t xml:space="preserve">All four exceed the critical value of 2.776 and win on every seed. The floors are 0.8171 accuracy and 0.0999 macro F1. The PerMFL global model sits below the accuracy floor; the Split-λ one sits above it.</w:t>
      </w:r>
    </w:p>
    <w:p>
      <w:pPr>
        <w:jc w:val="center"/>
        <w:spacing w:before="180" w:after="60"/>
      </w:pPr>
      <w:r>
        <w:drawing>
          <wp:inline distT="0" distB="0" distL="0" distR="0">
            <wp:extent cx="5486400" cy="2749855"/>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Fig4"/>
                    <a:stretch>
                      <a:fillRect/>
                    </a:stretch>
                  </pic:blipFill>
                  <pic:spPr>
                    <a:xfrm>
                      <a:off x="0" y="0"/>
                      <a:ext cx="5486400" cy="2749855"/>
                    </a:xfrm>
                    <a:prstGeom prst="rect">
                      <a:avLst/>
                    </a:prstGeom>
                  </pic:spPr>
                </pic:pic>
              </a:graphicData>
            </a:graphic>
          </wp:inline>
        </w:drawing>
      </w:r>
    </w:p>
    <w:p>
      <w:pPr>
        <w:jc w:val="center"/>
        <w:spacing w:after="220"/>
      </w:pPr>
      <w:r>
        <w:rPr>
          <w:b/>
          <w:sz w:val="18"/>
        </w:rPr>
        <w:t xml:space="preserve">Figure 4: </w:t>
      </w:r>
      <w:r>
        <w:rPr>
          <w:sz w:val="18"/>
        </w:rPr>
        <w:t xml:space="preserve">Confusion matrices for the global model on EMNIST-10 at 40 devices, row normalised. The largest single improvement is the digit five predicted as three.</w:t>
      </w:r>
    </w:p>
    <w:p>
      <w:pPr>
        <w:pStyle w:val="Heading3"/>
      </w:pPr>
      <w:r>
        <w:t xml:space="preserve">The paper's own configuration</w:t>
      </w:r>
    </w:p>
    <w:p>
      <w:pPr/>
      <w:r>
        <w:t xml:space="preserve">The results above use configurations chosen for this project. The strongest test of a correction to a published method is whether it holds at that method's own stated setup, so the comparison was repeated on EMNIST-10 with forty devices in four teams of ten, full participation, four hundred global rounds, ten team rounds and twenty local steps, multi-class logistic regression, lambda 0.5, gamma 1.5, beta 0.6 and alpha 0.01. Every one of those values is taken from the paper. Three seeds, paired.</w:t>
      </w:r>
    </w:p>
    <w:tbl>
      <w:tblPr>
        <w:tblStyle w:val="TableGrid"/>
        <w:tblW w:w="9020" w:type="dxa"/>
      </w:tblPr>
      <w:tblGrid>
        <w:gridCol w:w="1503"/>
        <w:gridCol w:w="1503"/>
        <w:gridCol w:w="1503"/>
        <w:gridCol w:w="1503"/>
        <w:gridCol w:w="1503"/>
        <w:gridCol w:w="1503"/>
      </w:tblGrid>
      <w:tr>
        <w:tc>
          <w:tcPr>
            <w:tcW w:w="1503" w:type="dxa"/>
            <w:shd w:val="clear" w:color="auto" w:fill="EDEDED"/>
          </w:tcPr>
          <w:p>
            <w:pPr>
              <w:spacing w:before="20" w:after="20"/>
            </w:pPr>
            <w:r>
              <w:rPr>
                <w:b/>
                <w:sz w:val="17"/>
              </w:rPr>
              <w:t xml:space="preserve">Metric</w:t>
            </w:r>
          </w:p>
        </w:tc>
        <w:tc>
          <w:tcPr>
            <w:tcW w:w="1503" w:type="dxa"/>
            <w:shd w:val="clear" w:color="auto" w:fill="EDEDED"/>
          </w:tcPr>
          <w:p>
            <w:pPr>
              <w:spacing w:before="20" w:after="20"/>
            </w:pPr>
            <w:r>
              <w:rPr>
                <w:b/>
                <w:sz w:val="17"/>
              </w:rPr>
              <w:t xml:space="preserve">Direction</w:t>
            </w:r>
          </w:p>
        </w:tc>
        <w:tc>
          <w:tcPr>
            <w:tcW w:w="1503" w:type="dxa"/>
            <w:shd w:val="clear" w:color="auto" w:fill="EDEDED"/>
          </w:tcPr>
          <w:p>
            <w:pPr>
              <w:spacing w:before="20" w:after="20"/>
            </w:pPr>
            <w:r>
              <w:rPr>
                <w:b/>
                <w:sz w:val="17"/>
              </w:rPr>
              <w:t xml:space="preserve">PerMFL</w:t>
            </w:r>
          </w:p>
        </w:tc>
        <w:tc>
          <w:tcPr>
            <w:tcW w:w="1503" w:type="dxa"/>
            <w:shd w:val="clear" w:color="auto" w:fill="EDEDED"/>
          </w:tcPr>
          <w:p>
            <w:pPr>
              <w:spacing w:before="20" w:after="20"/>
            </w:pPr>
            <w:r>
              <w:rPr>
                <w:b/>
                <w:sz w:val="17"/>
              </w:rPr>
              <w:t xml:space="preserve">Split-λ</w:t>
            </w:r>
          </w:p>
        </w:tc>
        <w:tc>
          <w:tcPr>
            <w:tcW w:w="1503" w:type="dxa"/>
            <w:shd w:val="clear" w:color="auto" w:fill="EDEDED"/>
          </w:tcPr>
          <w:p>
            <w:pPr>
              <w:spacing w:before="20" w:after="20"/>
            </w:pPr>
            <w:r>
              <w:rPr>
                <w:b/>
                <w:sz w:val="17"/>
              </w:rPr>
              <w:t xml:space="preserve">Delta</w:t>
            </w:r>
          </w:p>
        </w:tc>
        <w:tc>
          <w:tcPr>
            <w:tcW w:w="1503" w:type="dxa"/>
            <w:shd w:val="clear" w:color="auto" w:fill="EDEDED"/>
          </w:tcPr>
          <w:p>
            <w:pPr>
              <w:spacing w:before="20" w:after="20"/>
            </w:pPr>
            <w:r>
              <w:rPr>
                <w:b/>
                <w:sz w:val="17"/>
              </w:rPr>
              <w:t xml:space="preserve">t</w:t>
            </w:r>
          </w:p>
        </w:tc>
      </w:tr>
      <w:tr>
        <w:tc>
          <w:tcPr>
            <w:tcW w:w="1503" w:type="dxa"/>
          </w:tcPr>
          <w:p>
            <w:pPr>
              <w:spacing w:before="20" w:after="20"/>
            </w:pPr>
            <w:r>
              <w:rPr>
                <w:sz w:val="17"/>
              </w:rPr>
              <w:t xml:space="preserve">Personalised macro F1</w:t>
            </w:r>
          </w:p>
        </w:tc>
        <w:tc>
          <w:tcPr>
            <w:tcW w:w="1503" w:type="dxa"/>
          </w:tcPr>
          <w:p>
            <w:pPr>
              <w:spacing w:before="20" w:after="20"/>
            </w:pPr>
            <w:r>
              <w:rPr>
                <w:sz w:val="17"/>
              </w:rPr>
              <w:t xml:space="preserve">higher better</w:t>
            </w:r>
          </w:p>
        </w:tc>
        <w:tc>
          <w:tcPr>
            <w:tcW w:w="1503" w:type="dxa"/>
          </w:tcPr>
          <w:p>
            <w:pPr>
              <w:spacing w:before="20" w:after="20"/>
            </w:pPr>
            <w:r>
              <w:rPr>
                <w:sz w:val="17"/>
              </w:rPr>
              <w:t xml:space="preserve">0.9787</w:t>
            </w:r>
          </w:p>
        </w:tc>
        <w:tc>
          <w:tcPr>
            <w:tcW w:w="1503" w:type="dxa"/>
          </w:tcPr>
          <w:p>
            <w:pPr>
              <w:spacing w:before="20" w:after="20"/>
            </w:pPr>
            <w:r>
              <w:rPr>
                <w:sz w:val="17"/>
              </w:rPr>
              <w:t xml:space="preserve">0.9786</w:t>
            </w:r>
          </w:p>
        </w:tc>
        <w:tc>
          <w:tcPr>
            <w:tcW w:w="1503" w:type="dxa"/>
          </w:tcPr>
          <w:p>
            <w:pPr>
              <w:spacing w:before="20" w:after="20"/>
            </w:pPr>
            <w:r>
              <w:rPr>
                <w:sz w:val="17"/>
              </w:rPr>
              <w:t xml:space="preserve">-0.0001</w:t>
            </w:r>
          </w:p>
        </w:tc>
        <w:tc>
          <w:tcPr>
            <w:tcW w:w="1503" w:type="dxa"/>
          </w:tcPr>
          <w:p>
            <w:pPr>
              <w:spacing w:before="20" w:after="20"/>
            </w:pPr>
            <w:r>
              <w:rPr>
                <w:sz w:val="17"/>
              </w:rPr>
              <w:t xml:space="preserve">-1.03</w:t>
            </w:r>
          </w:p>
        </w:tc>
      </w:tr>
      <w:tr>
        <w:tc>
          <w:tcPr>
            <w:tcW w:w="1503" w:type="dxa"/>
          </w:tcPr>
          <w:p>
            <w:pPr>
              <w:spacing w:before="20" w:after="20"/>
            </w:pPr>
            <w:r>
              <w:rPr>
                <w:sz w:val="17"/>
              </w:rPr>
              <w:t xml:space="preserve">Personalised accuracy</w:t>
            </w:r>
          </w:p>
        </w:tc>
        <w:tc>
          <w:tcPr>
            <w:tcW w:w="1503" w:type="dxa"/>
          </w:tcPr>
          <w:p>
            <w:pPr>
              <w:spacing w:before="20" w:after="20"/>
            </w:pPr>
            <w:r>
              <w:rPr>
                <w:sz w:val="17"/>
              </w:rPr>
              <w:t xml:space="preserve">higher better</w:t>
            </w:r>
          </w:p>
        </w:tc>
        <w:tc>
          <w:tcPr>
            <w:tcW w:w="1503" w:type="dxa"/>
          </w:tcPr>
          <w:p>
            <w:pPr>
              <w:spacing w:before="20" w:after="20"/>
            </w:pPr>
            <w:r>
              <w:rPr>
                <w:sz w:val="17"/>
              </w:rPr>
              <w:t xml:space="preserve">0.9796</w:t>
            </w:r>
          </w:p>
        </w:tc>
        <w:tc>
          <w:tcPr>
            <w:tcW w:w="1503" w:type="dxa"/>
          </w:tcPr>
          <w:p>
            <w:pPr>
              <w:spacing w:before="20" w:after="20"/>
            </w:pPr>
            <w:r>
              <w:rPr>
                <w:sz w:val="17"/>
              </w:rPr>
              <w:t xml:space="preserve">0.9795</w:t>
            </w:r>
          </w:p>
        </w:tc>
        <w:tc>
          <w:tcPr>
            <w:tcW w:w="1503" w:type="dxa"/>
          </w:tcPr>
          <w:p>
            <w:pPr>
              <w:spacing w:before="20" w:after="20"/>
            </w:pPr>
            <w:r>
              <w:rPr>
                <w:sz w:val="17"/>
              </w:rPr>
              <w:t xml:space="preserve">-0.0001</w:t>
            </w:r>
          </w:p>
        </w:tc>
        <w:tc>
          <w:tcPr>
            <w:tcW w:w="1503" w:type="dxa"/>
          </w:tcPr>
          <w:p>
            <w:pPr>
              <w:spacing w:before="20" w:after="20"/>
            </w:pPr>
            <w:r>
              <w:rPr>
                <w:sz w:val="17"/>
              </w:rPr>
              <w:t xml:space="preserve">-0.65</w:t>
            </w:r>
          </w:p>
        </w:tc>
      </w:tr>
      <w:tr>
        <w:tc>
          <w:tcPr>
            <w:tcW w:w="1503" w:type="dxa"/>
          </w:tcPr>
          <w:p>
            <w:pPr>
              <w:spacing w:before="20" w:after="20"/>
            </w:pPr>
            <w:r>
              <w:rPr>
                <w:sz w:val="17"/>
              </w:rPr>
              <w:t xml:space="preserve">Global macro F1</w:t>
            </w:r>
          </w:p>
        </w:tc>
        <w:tc>
          <w:tcPr>
            <w:tcW w:w="1503" w:type="dxa"/>
          </w:tcPr>
          <w:p>
            <w:pPr>
              <w:spacing w:before="20" w:after="20"/>
            </w:pPr>
            <w:r>
              <w:rPr>
                <w:sz w:val="17"/>
              </w:rPr>
              <w:t xml:space="preserve">higher better</w:t>
            </w:r>
          </w:p>
        </w:tc>
        <w:tc>
          <w:tcPr>
            <w:tcW w:w="1503" w:type="dxa"/>
          </w:tcPr>
          <w:p>
            <w:pPr>
              <w:spacing w:before="20" w:after="20"/>
            </w:pPr>
            <w:r>
              <w:rPr>
                <w:sz w:val="17"/>
              </w:rPr>
              <w:t xml:space="preserve">0.9018</w:t>
            </w:r>
          </w:p>
        </w:tc>
        <w:tc>
          <w:tcPr>
            <w:tcW w:w="1503" w:type="dxa"/>
          </w:tcPr>
          <w:p>
            <w:pPr>
              <w:spacing w:before="20" w:after="20"/>
            </w:pPr>
            <w:r>
              <w:rPr>
                <w:sz w:val="17"/>
              </w:rPr>
              <w:t xml:space="preserve">0.9176</w:t>
            </w:r>
          </w:p>
        </w:tc>
        <w:tc>
          <w:tcPr>
            <w:tcW w:w="1503" w:type="dxa"/>
          </w:tcPr>
          <w:p>
            <w:pPr>
              <w:spacing w:before="20" w:after="20"/>
            </w:pPr>
            <w:r>
              <w:rPr>
                <w:sz w:val="17"/>
              </w:rPr>
              <w:t xml:space="preserve">+0.0158</w:t>
            </w:r>
          </w:p>
        </w:tc>
        <w:tc>
          <w:tcPr>
            <w:tcW w:w="1503" w:type="dxa"/>
          </w:tcPr>
          <w:p>
            <w:pPr>
              <w:spacing w:before="20" w:after="20"/>
            </w:pPr>
            <w:r>
              <w:rPr>
                <w:sz w:val="17"/>
              </w:rPr>
              <w:t xml:space="preserve">33.35</w:t>
            </w:r>
          </w:p>
        </w:tc>
      </w:tr>
      <w:tr>
        <w:tc>
          <w:tcPr>
            <w:tcW w:w="1503" w:type="dxa"/>
          </w:tcPr>
          <w:p>
            <w:pPr>
              <w:spacing w:before="20" w:after="20"/>
            </w:pPr>
            <w:r>
              <w:rPr>
                <w:sz w:val="17"/>
              </w:rPr>
              <w:t xml:space="preserve">Global accuracy</w:t>
            </w:r>
          </w:p>
        </w:tc>
        <w:tc>
          <w:tcPr>
            <w:tcW w:w="1503" w:type="dxa"/>
          </w:tcPr>
          <w:p>
            <w:pPr>
              <w:spacing w:before="20" w:after="20"/>
            </w:pPr>
            <w:r>
              <w:rPr>
                <w:sz w:val="17"/>
              </w:rPr>
              <w:t xml:space="preserve">higher better</w:t>
            </w:r>
          </w:p>
        </w:tc>
        <w:tc>
          <w:tcPr>
            <w:tcW w:w="1503" w:type="dxa"/>
          </w:tcPr>
          <w:p>
            <w:pPr>
              <w:spacing w:before="20" w:after="20"/>
            </w:pPr>
            <w:r>
              <w:rPr>
                <w:sz w:val="17"/>
              </w:rPr>
              <w:t xml:space="preserve">0.9053</w:t>
            </w:r>
          </w:p>
        </w:tc>
        <w:tc>
          <w:tcPr>
            <w:tcW w:w="1503" w:type="dxa"/>
          </w:tcPr>
          <w:p>
            <w:pPr>
              <w:spacing w:before="20" w:after="20"/>
            </w:pPr>
            <w:r>
              <w:rPr>
                <w:sz w:val="17"/>
              </w:rPr>
              <w:t xml:space="preserve">0.9206</w:t>
            </w:r>
          </w:p>
        </w:tc>
        <w:tc>
          <w:tcPr>
            <w:tcW w:w="1503" w:type="dxa"/>
          </w:tcPr>
          <w:p>
            <w:pPr>
              <w:spacing w:before="20" w:after="20"/>
            </w:pPr>
            <w:r>
              <w:rPr>
                <w:sz w:val="17"/>
              </w:rPr>
              <w:t xml:space="preserve">+0.0152</w:t>
            </w:r>
          </w:p>
        </w:tc>
        <w:tc>
          <w:tcPr>
            <w:tcW w:w="1503" w:type="dxa"/>
          </w:tcPr>
          <w:p>
            <w:pPr>
              <w:spacing w:before="20" w:after="20"/>
            </w:pPr>
            <w:r>
              <w:rPr>
                <w:sz w:val="17"/>
              </w:rPr>
              <w:t xml:space="preserve">39.38</w:t>
            </w:r>
          </w:p>
        </w:tc>
      </w:tr>
      <w:tr>
        <w:tc>
          <w:tcPr>
            <w:tcW w:w="1503" w:type="dxa"/>
          </w:tcPr>
          <w:p>
            <w:pPr>
              <w:spacing w:before="20" w:after="20"/>
            </w:pPr>
            <w:r>
              <w:rPr>
                <w:sz w:val="17"/>
              </w:rPr>
              <w:t xml:space="preserve">Global macro recall</w:t>
            </w:r>
          </w:p>
        </w:tc>
        <w:tc>
          <w:tcPr>
            <w:tcW w:w="1503" w:type="dxa"/>
          </w:tcPr>
          <w:p>
            <w:pPr>
              <w:spacing w:before="20" w:after="20"/>
            </w:pPr>
            <w:r>
              <w:rPr>
                <w:sz w:val="17"/>
              </w:rPr>
              <w:t xml:space="preserve">higher better</w:t>
            </w:r>
          </w:p>
        </w:tc>
        <w:tc>
          <w:tcPr>
            <w:tcW w:w="1503" w:type="dxa"/>
          </w:tcPr>
          <w:p>
            <w:pPr>
              <w:spacing w:before="20" w:after="20"/>
            </w:pPr>
            <w:r>
              <w:rPr>
                <w:sz w:val="17"/>
              </w:rPr>
              <w:t xml:space="preserve">0.9022</w:t>
            </w:r>
          </w:p>
        </w:tc>
        <w:tc>
          <w:tcPr>
            <w:tcW w:w="1503" w:type="dxa"/>
          </w:tcPr>
          <w:p>
            <w:pPr>
              <w:spacing w:before="20" w:after="20"/>
            </w:pPr>
            <w:r>
              <w:rPr>
                <w:sz w:val="17"/>
              </w:rPr>
              <w:t xml:space="preserve">0.9180</w:t>
            </w:r>
          </w:p>
        </w:tc>
        <w:tc>
          <w:tcPr>
            <w:tcW w:w="1503" w:type="dxa"/>
          </w:tcPr>
          <w:p>
            <w:pPr>
              <w:spacing w:before="20" w:after="20"/>
            </w:pPr>
            <w:r>
              <w:rPr>
                <w:sz w:val="17"/>
              </w:rPr>
              <w:t xml:space="preserve">+0.0158</w:t>
            </w:r>
          </w:p>
        </w:tc>
        <w:tc>
          <w:tcPr>
            <w:tcW w:w="1503" w:type="dxa"/>
          </w:tcPr>
          <w:p>
            <w:pPr>
              <w:spacing w:before="20" w:after="20"/>
            </w:pPr>
            <w:r>
              <w:rPr>
                <w:sz w:val="17"/>
              </w:rPr>
              <w:t xml:space="preserve">42.39</w:t>
            </w:r>
          </w:p>
        </w:tc>
      </w:tr>
      <w:tr>
        <w:tc>
          <w:tcPr>
            <w:tcW w:w="1503" w:type="dxa"/>
          </w:tcPr>
          <w:p>
            <w:pPr>
              <w:spacing w:before="20" w:after="20"/>
            </w:pPr>
            <w:r>
              <w:rPr>
                <w:sz w:val="17"/>
              </w:rPr>
              <w:t xml:space="preserve">Global macro FPR</w:t>
            </w:r>
          </w:p>
        </w:tc>
        <w:tc>
          <w:tcPr>
            <w:tcW w:w="1503" w:type="dxa"/>
          </w:tcPr>
          <w:p>
            <w:pPr>
              <w:spacing w:before="20" w:after="20"/>
            </w:pPr>
            <w:r>
              <w:rPr>
                <w:sz w:val="17"/>
              </w:rPr>
              <w:t xml:space="preserve">lower better</w:t>
            </w:r>
          </w:p>
        </w:tc>
        <w:tc>
          <w:tcPr>
            <w:tcW w:w="1503" w:type="dxa"/>
          </w:tcPr>
          <w:p>
            <w:pPr>
              <w:spacing w:before="20" w:after="20"/>
            </w:pPr>
            <w:r>
              <w:rPr>
                <w:sz w:val="17"/>
              </w:rPr>
              <w:t xml:space="preserve">0.0105</w:t>
            </w:r>
          </w:p>
        </w:tc>
        <w:tc>
          <w:tcPr>
            <w:tcW w:w="1503" w:type="dxa"/>
          </w:tcPr>
          <w:p>
            <w:pPr>
              <w:spacing w:before="20" w:after="20"/>
            </w:pPr>
            <w:r>
              <w:rPr>
                <w:sz w:val="17"/>
              </w:rPr>
              <w:t xml:space="preserve">0.0088</w:t>
            </w:r>
          </w:p>
        </w:tc>
        <w:tc>
          <w:tcPr>
            <w:tcW w:w="1503" w:type="dxa"/>
          </w:tcPr>
          <w:p>
            <w:pPr>
              <w:spacing w:before="20" w:after="20"/>
            </w:pPr>
            <w:r>
              <w:rPr>
                <w:sz w:val="17"/>
              </w:rPr>
              <w:t xml:space="preserve">-0.0017</w:t>
            </w:r>
          </w:p>
        </w:tc>
        <w:tc>
          <w:tcPr>
            <w:tcW w:w="1503" w:type="dxa"/>
          </w:tcPr>
          <w:p>
            <w:pPr>
              <w:spacing w:before="20" w:after="20"/>
            </w:pPr>
            <w:r>
              <w:rPr>
                <w:sz w:val="17"/>
              </w:rPr>
              <w:t xml:space="preserve">-41.19</w:t>
            </w:r>
          </w:p>
        </w:tc>
      </w:tr>
    </w:tbl>
    <w:p/>
    <w:p>
      <w:pPr/>
      <w:r>
        <w:t xml:space="preserve">The critical value at two degrees of freedom is 4.303. The four global metrics clear it by an order of magnitude and win on every seed. The three personalised metrics do not clear it, and their deltas are negative here where they were marginally positive at a shorter horizon. The correct reading is that the personalised model is unaffected, which is what the update rules predict, since the separated parameter enters only the team update.</w:t>
      </w:r>
    </w:p>
    <w:p>
      <w:pPr/>
      <w:r>
        <w:t xml:space="preserve">The published figures for this cell are 96.49 personalised accuracy and 91.68 global accuracy. Measured against the latter:</w:t>
      </w:r>
    </w:p>
    <w:tbl>
      <w:tblPr>
        <w:tblStyle w:val="TableGrid"/>
        <w:tblW w:w="9020" w:type="dxa"/>
      </w:tblPr>
      <w:tblGrid>
        <w:gridCol w:w="2255"/>
        <w:gridCol w:w="2255"/>
        <w:gridCol w:w="2255"/>
        <w:gridCol w:w="2255"/>
      </w:tblGrid>
      <w:tr>
        <w:tc>
          <w:tcPr>
            <w:tcW w:w="2255" w:type="dxa"/>
            <w:shd w:val="clear" w:color="auto" w:fill="EDEDED"/>
          </w:tcPr>
          <w:p>
            <w:pPr>
              <w:spacing w:before="20" w:after="20"/>
            </w:pPr>
            <w:r>
              <w:rPr>
                <w:b/>
                <w:sz w:val="17"/>
              </w:rPr>
              <w:t xml:space="preserve">Configuration</w:t>
            </w:r>
          </w:p>
        </w:tc>
        <w:tc>
          <w:tcPr>
            <w:tcW w:w="2255" w:type="dxa"/>
            <w:shd w:val="clear" w:color="auto" w:fill="EDEDED"/>
          </w:tcPr>
          <w:p>
            <w:pPr>
              <w:spacing w:before="20" w:after="20"/>
            </w:pPr>
            <w:r>
              <w:rPr>
                <w:b/>
                <w:sz w:val="17"/>
              </w:rPr>
              <w:t xml:space="preserve">Global accuracy by seed</w:t>
            </w:r>
          </w:p>
        </w:tc>
        <w:tc>
          <w:tcPr>
            <w:tcW w:w="2255" w:type="dxa"/>
            <w:shd w:val="clear" w:color="auto" w:fill="EDEDED"/>
          </w:tcPr>
          <w:p>
            <w:pPr>
              <w:spacing w:before="20" w:after="20"/>
            </w:pPr>
            <w:r>
              <w:rPr>
                <w:b/>
                <w:sz w:val="17"/>
              </w:rPr>
              <w:t xml:space="preserve">Mean</w:t>
            </w:r>
          </w:p>
        </w:tc>
        <w:tc>
          <w:tcPr>
            <w:tcW w:w="2255" w:type="dxa"/>
            <w:shd w:val="clear" w:color="auto" w:fill="EDEDED"/>
          </w:tcPr>
          <w:p>
            <w:pPr>
              <w:spacing w:before="20" w:after="20"/>
            </w:pPr>
            <w:r>
              <w:rPr>
                <w:b/>
                <w:sz w:val="17"/>
              </w:rPr>
              <w:t xml:space="preserve">Versus 91.68</w:t>
            </w:r>
          </w:p>
        </w:tc>
      </w:tr>
      <w:tr>
        <w:tc>
          <w:tcPr>
            <w:tcW w:w="2255" w:type="dxa"/>
          </w:tcPr>
          <w:p>
            <w:pPr>
              <w:spacing w:before="20" w:after="20"/>
            </w:pPr>
            <w:r>
              <w:rPr>
                <w:sz w:val="17"/>
              </w:rPr>
              <w:t xml:space="preserve">PerMFL</w:t>
            </w:r>
          </w:p>
        </w:tc>
        <w:tc>
          <w:tcPr>
            <w:tcW w:w="2255" w:type="dxa"/>
          </w:tcPr>
          <w:p>
            <w:pPr>
              <w:spacing w:before="20" w:after="20"/>
            </w:pPr>
            <w:r>
              <w:rPr>
                <w:sz w:val="17"/>
              </w:rPr>
              <w:t xml:space="preserve">90.45, 90.65, 90.51</w:t>
            </w:r>
          </w:p>
        </w:tc>
        <w:tc>
          <w:tcPr>
            <w:tcW w:w="2255" w:type="dxa"/>
          </w:tcPr>
          <w:p>
            <w:pPr>
              <w:spacing w:before="20" w:after="20"/>
            </w:pPr>
            <w:r>
              <w:rPr>
                <w:sz w:val="17"/>
              </w:rPr>
              <w:t xml:space="preserve">90.53</w:t>
            </w:r>
          </w:p>
        </w:tc>
        <w:tc>
          <w:tcPr>
            <w:tcW w:w="2255" w:type="dxa"/>
          </w:tcPr>
          <w:p>
            <w:pPr>
              <w:spacing w:before="20" w:after="20"/>
            </w:pPr>
            <w:r>
              <w:rPr>
                <w:sz w:val="17"/>
              </w:rPr>
              <w:t xml:space="preserve">-1.15, exceeds on none</w:t>
            </w:r>
          </w:p>
        </w:tc>
      </w:tr>
      <w:tr>
        <w:tc>
          <w:tcPr>
            <w:tcW w:w="2255" w:type="dxa"/>
          </w:tcPr>
          <w:p>
            <w:pPr>
              <w:spacing w:before="20" w:after="20"/>
            </w:pPr>
            <w:r>
              <w:rPr>
                <w:sz w:val="17"/>
              </w:rPr>
              <w:t xml:space="preserve">Split-λ</w:t>
            </w:r>
          </w:p>
        </w:tc>
        <w:tc>
          <w:tcPr>
            <w:tcW w:w="2255" w:type="dxa"/>
          </w:tcPr>
          <w:p>
            <w:pPr>
              <w:spacing w:before="20" w:after="20"/>
            </w:pPr>
            <w:r>
              <w:rPr>
                <w:sz w:val="17"/>
              </w:rPr>
              <w:t xml:space="preserve">92.03, 92.09, 92.05</w:t>
            </w:r>
          </w:p>
        </w:tc>
        <w:tc>
          <w:tcPr>
            <w:tcW w:w="2255" w:type="dxa"/>
          </w:tcPr>
          <w:p>
            <w:pPr>
              <w:spacing w:before="20" w:after="20"/>
            </w:pPr>
            <w:r>
              <w:rPr>
                <w:sz w:val="17"/>
              </w:rPr>
              <w:t xml:space="preserve">92.06</w:t>
            </w:r>
          </w:p>
        </w:tc>
        <w:tc>
          <w:tcPr>
            <w:tcW w:w="2255" w:type="dxa"/>
          </w:tcPr>
          <w:p>
            <w:pPr>
              <w:spacing w:before="20" w:after="20"/>
            </w:pPr>
            <w:r>
              <w:rPr>
                <w:sz w:val="17"/>
              </w:rPr>
              <w:t xml:space="preserve">+0.38, exceeds on all three</w:t>
            </w:r>
          </w:p>
        </w:tc>
      </w:tr>
    </w:tbl>
    <w:p/>
    <w:p>
      <w:pPr/>
      <w:r>
        <w:t xml:space="preserve">The two arms do not overlap and fall either side of the published number. Both have converged: over the final fifty rounds the global model gains 0.0048 points per round under the published coupling and 0.0019 under the separated one, so the remaining difference is not an artefact of stopping early.</w:t>
      </w:r>
    </w:p>
    <w:p>
      <w:pPr/>
      <w:r>
        <w:t xml:space="preserve">The claim this supports is narrow and worth stating precisely. Under the paper's own configuration, at a horizon where both arms have converged, separating the two roles of lambda reaches the published global accuracy on every seed while the published coupling reaches it on none. It does not support the broader claim that the method has been beaten, because the paper reports one figure per cell without stating whether it is a final or a best value, and the comparison here uses a peak.</w:t>
      </w:r>
    </w:p>
    <w:p>
      <w:pPr/>
      <w:r>
        <w:t xml:space="preserve">The size of the gain depends on the horizon. At one hundred global rounds the global accuracy gain is 0.0418; at four hundred it is 0.0152. Longer training lets the published coupling recover much of the deficit unaided, but not all of it. The correction therefore buys both faster convergence and a better converged model, and the first effect is the larger of the two.</w:t>
      </w:r>
    </w:p>
    <w:p>
      <w:pPr>
        <w:pStyle w:val="Heading3"/>
      </w:pPr>
      <w:r>
        <w:t xml:space="preserve">Where the operating point sits</w:t>
      </w:r>
    </w:p>
    <w:p>
      <w:pPr/>
      <w:r>
        <w:t xml:space="preserve">The comparison above uses $\lambda_{team} = 1.5$, chosen before any sweep. A later sweep over six values shows that choice was conservative.</w:t>
      </w:r>
    </w:p>
    <w:tbl>
      <w:tblPr>
        <w:tblStyle w:val="TableGrid"/>
        <w:tblW w:w="9020" w:type="dxa"/>
      </w:tblPr>
      <w:tblGrid>
        <w:gridCol w:w="1804"/>
        <w:gridCol w:w="1804"/>
        <w:gridCol w:w="1804"/>
        <w:gridCol w:w="1804"/>
        <w:gridCol w:w="1804"/>
      </w:tblGrid>
      <w:tr>
        <w:tc>
          <w:tcPr>
            <w:tcW w:w="1804" w:type="dxa"/>
            <w:shd w:val="clear" w:color="auto" w:fill="EDEDED"/>
          </w:tcPr>
          <w:p>
            <w:pPr>
              <w:spacing w:before="20" w:after="20"/>
            </w:pPr>
            <w:r>
              <w:rPr>
                <w:b/>
                <w:sz w:val="17"/>
              </w:rPr>
              <w:t xml:space="preserve">$\lambda_{team}$</w:t>
            </w:r>
          </w:p>
        </w:tc>
        <w:tc>
          <w:tcPr>
            <w:tcW w:w="1804" w:type="dxa"/>
            <w:shd w:val="clear" w:color="auto" w:fill="EDEDED"/>
          </w:tcPr>
          <w:p>
            <w:pPr>
              <w:spacing w:before="20" w:after="20"/>
            </w:pPr>
            <w:r>
              <w:rPr>
                <w:b/>
                <w:sz w:val="17"/>
              </w:rPr>
              <w:t xml:space="preserve">ratio to $\gamma$</w:t>
            </w:r>
          </w:p>
        </w:tc>
        <w:tc>
          <w:tcPr>
            <w:tcW w:w="1804" w:type="dxa"/>
            <w:shd w:val="clear" w:color="auto" w:fill="EDEDED"/>
          </w:tcPr>
          <w:p>
            <w:pPr>
              <w:spacing w:before="20" w:after="20"/>
            </w:pPr>
            <w:r>
              <w:rPr>
                <w:b/>
                <w:sz w:val="17"/>
              </w:rPr>
              <w:t xml:space="preserve">personal macro F1</w:t>
            </w:r>
          </w:p>
        </w:tc>
        <w:tc>
          <w:tcPr>
            <w:tcW w:w="1804" w:type="dxa"/>
            <w:shd w:val="clear" w:color="auto" w:fill="EDEDED"/>
          </w:tcPr>
          <w:p>
            <w:pPr>
              <w:spacing w:before="20" w:after="20"/>
            </w:pPr>
            <w:r>
              <w:rPr>
                <w:b/>
                <w:sz w:val="17"/>
              </w:rPr>
              <w:t xml:space="preserve">global macro F1</w:t>
            </w:r>
          </w:p>
        </w:tc>
        <w:tc>
          <w:tcPr>
            <w:tcW w:w="1804" w:type="dxa"/>
            <w:shd w:val="clear" w:color="auto" w:fill="EDEDED"/>
          </w:tcPr>
          <w:p>
            <w:pPr>
              <w:spacing w:before="20" w:after="20"/>
            </w:pPr>
            <w:r>
              <w:rPr>
                <w:b/>
                <w:sz w:val="17"/>
              </w:rPr>
              <w:t xml:space="preserve">global FPR</w:t>
            </w:r>
          </w:p>
        </w:tc>
      </w:tr>
      <w:tr>
        <w:tc>
          <w:tcPr>
            <w:tcW w:w="1804" w:type="dxa"/>
          </w:tcPr>
          <w:p>
            <w:pPr>
              <w:spacing w:before="20" w:after="20"/>
            </w:pPr>
            <w:r>
              <w:rPr>
                <w:sz w:val="17"/>
              </w:rPr>
              <w:t xml:space="preserve">0.5</w:t>
            </w:r>
          </w:p>
        </w:tc>
        <w:tc>
          <w:tcPr>
            <w:tcW w:w="1804" w:type="dxa"/>
          </w:tcPr>
          <w:p>
            <w:pPr>
              <w:spacing w:before="20" w:after="20"/>
            </w:pPr>
            <w:r>
              <w:rPr>
                <w:sz w:val="17"/>
              </w:rPr>
              <w:t xml:space="preserve">0.3</w:t>
            </w:r>
          </w:p>
        </w:tc>
        <w:tc>
          <w:tcPr>
            <w:tcW w:w="1804" w:type="dxa"/>
          </w:tcPr>
          <w:p>
            <w:pPr>
              <w:spacing w:before="20" w:after="20"/>
            </w:pPr>
            <w:r>
              <w:rPr>
                <w:sz w:val="17"/>
              </w:rPr>
              <w:t xml:space="preserve">0.4168</w:t>
            </w:r>
          </w:p>
        </w:tc>
        <w:tc>
          <w:tcPr>
            <w:tcW w:w="1804" w:type="dxa"/>
          </w:tcPr>
          <w:p>
            <w:pPr>
              <w:spacing w:before="20" w:after="20"/>
            </w:pPr>
            <w:r>
              <w:rPr>
                <w:sz w:val="17"/>
              </w:rPr>
              <w:t xml:space="preserve">0.1529</w:t>
            </w:r>
          </w:p>
        </w:tc>
        <w:tc>
          <w:tcPr>
            <w:tcW w:w="1804" w:type="dxa"/>
          </w:tcPr>
          <w:p>
            <w:pPr>
              <w:spacing w:before="20" w:after="20"/>
            </w:pPr>
            <w:r>
              <w:rPr>
                <w:sz w:val="17"/>
              </w:rPr>
              <w:t xml:space="preserve">0.0887</w:t>
            </w:r>
          </w:p>
        </w:tc>
      </w:tr>
      <w:tr>
        <w:tc>
          <w:tcPr>
            <w:tcW w:w="1804" w:type="dxa"/>
          </w:tcPr>
          <w:p>
            <w:pPr>
              <w:spacing w:before="20" w:after="20"/>
            </w:pPr>
            <w:r>
              <w:rPr>
                <w:sz w:val="17"/>
              </w:rPr>
              <w:t xml:space="preserve">1.0</w:t>
            </w:r>
          </w:p>
        </w:tc>
        <w:tc>
          <w:tcPr>
            <w:tcW w:w="1804" w:type="dxa"/>
          </w:tcPr>
          <w:p>
            <w:pPr>
              <w:spacing w:before="20" w:after="20"/>
            </w:pPr>
            <w:r>
              <w:rPr>
                <w:sz w:val="17"/>
              </w:rPr>
              <w:t xml:space="preserve">0.7</w:t>
            </w:r>
          </w:p>
        </w:tc>
        <w:tc>
          <w:tcPr>
            <w:tcW w:w="1804" w:type="dxa"/>
          </w:tcPr>
          <w:p>
            <w:pPr>
              <w:spacing w:before="20" w:after="20"/>
            </w:pPr>
            <w:r>
              <w:rPr>
                <w:sz w:val="17"/>
              </w:rPr>
              <w:t xml:space="preserve">0.4383</w:t>
            </w:r>
          </w:p>
        </w:tc>
        <w:tc>
          <w:tcPr>
            <w:tcW w:w="1804" w:type="dxa"/>
          </w:tcPr>
          <w:p>
            <w:pPr>
              <w:spacing w:before="20" w:after="20"/>
            </w:pPr>
            <w:r>
              <w:rPr>
                <w:sz w:val="17"/>
              </w:rPr>
              <w:t xml:space="preserve">0.2169</w:t>
            </w:r>
          </w:p>
        </w:tc>
        <w:tc>
          <w:tcPr>
            <w:tcW w:w="1804" w:type="dxa"/>
          </w:tcPr>
          <w:p>
            <w:pPr>
              <w:spacing w:before="20" w:after="20"/>
            </w:pPr>
            <w:r>
              <w:rPr>
                <w:sz w:val="17"/>
              </w:rPr>
              <w:t xml:space="preserve">0.0816</w:t>
            </w:r>
          </w:p>
        </w:tc>
      </w:tr>
      <w:tr>
        <w:tc>
          <w:tcPr>
            <w:tcW w:w="1804" w:type="dxa"/>
          </w:tcPr>
          <w:p>
            <w:pPr>
              <w:spacing w:before="20" w:after="20"/>
            </w:pPr>
            <w:r>
              <w:rPr>
                <w:sz w:val="17"/>
              </w:rPr>
              <w:t xml:space="preserve">1.5</w:t>
            </w:r>
          </w:p>
        </w:tc>
        <w:tc>
          <w:tcPr>
            <w:tcW w:w="1804" w:type="dxa"/>
          </w:tcPr>
          <w:p>
            <w:pPr>
              <w:spacing w:before="20" w:after="20"/>
            </w:pPr>
            <w:r>
              <w:rPr>
                <w:sz w:val="17"/>
              </w:rPr>
              <w:t xml:space="preserve">1.0</w:t>
            </w:r>
          </w:p>
        </w:tc>
        <w:tc>
          <w:tcPr>
            <w:tcW w:w="1804" w:type="dxa"/>
          </w:tcPr>
          <w:p>
            <w:pPr>
              <w:spacing w:before="20" w:after="20"/>
            </w:pPr>
            <w:r>
              <w:rPr>
                <w:sz w:val="17"/>
              </w:rPr>
              <w:t xml:space="preserve">0.5202</w:t>
            </w:r>
          </w:p>
        </w:tc>
        <w:tc>
          <w:tcPr>
            <w:tcW w:w="1804" w:type="dxa"/>
          </w:tcPr>
          <w:p>
            <w:pPr>
              <w:spacing w:before="20" w:after="20"/>
            </w:pPr>
            <w:r>
              <w:rPr>
                <w:sz w:val="17"/>
              </w:rPr>
              <w:t xml:space="preserve">0.2480</w:t>
            </w:r>
          </w:p>
        </w:tc>
        <w:tc>
          <w:tcPr>
            <w:tcW w:w="1804" w:type="dxa"/>
          </w:tcPr>
          <w:p>
            <w:pPr>
              <w:spacing w:before="20" w:after="20"/>
            </w:pPr>
            <w:r>
              <w:rPr>
                <w:sz w:val="17"/>
              </w:rPr>
              <w:t xml:space="preserve">0.0788</w:t>
            </w:r>
          </w:p>
        </w:tc>
      </w:tr>
      <w:tr>
        <w:tc>
          <w:tcPr>
            <w:tcW w:w="1804" w:type="dxa"/>
          </w:tcPr>
          <w:p>
            <w:pPr>
              <w:spacing w:before="20" w:after="20"/>
            </w:pPr>
            <w:r>
              <w:rPr>
                <w:sz w:val="17"/>
              </w:rPr>
              <w:t xml:space="preserve">3.0</w:t>
            </w:r>
          </w:p>
        </w:tc>
        <w:tc>
          <w:tcPr>
            <w:tcW w:w="1804" w:type="dxa"/>
          </w:tcPr>
          <w:p>
            <w:pPr>
              <w:spacing w:before="20" w:after="20"/>
            </w:pPr>
            <w:r>
              <w:rPr>
                <w:sz w:val="17"/>
              </w:rPr>
              <w:t xml:space="preserve">2.0</w:t>
            </w:r>
          </w:p>
        </w:tc>
        <w:tc>
          <w:tcPr>
            <w:tcW w:w="1804" w:type="dxa"/>
          </w:tcPr>
          <w:p>
            <w:pPr>
              <w:spacing w:before="20" w:after="20"/>
            </w:pPr>
            <w:r>
              <w:rPr>
                <w:sz w:val="17"/>
              </w:rPr>
              <w:t xml:space="preserve">0.5818</w:t>
            </w:r>
          </w:p>
        </w:tc>
        <w:tc>
          <w:tcPr>
            <w:tcW w:w="1804" w:type="dxa"/>
          </w:tcPr>
          <w:p>
            <w:pPr>
              <w:spacing w:before="20" w:after="20"/>
            </w:pPr>
            <w:r>
              <w:rPr>
                <w:sz w:val="17"/>
              </w:rPr>
              <w:t xml:space="preserve">0.2603</w:t>
            </w:r>
          </w:p>
        </w:tc>
        <w:tc>
          <w:tcPr>
            <w:tcW w:w="1804" w:type="dxa"/>
          </w:tcPr>
          <w:p>
            <w:pPr>
              <w:spacing w:before="20" w:after="20"/>
            </w:pPr>
            <w:r>
              <w:rPr>
                <w:sz w:val="17"/>
              </w:rPr>
              <w:t xml:space="preserve">0.0757</w:t>
            </w:r>
          </w:p>
        </w:tc>
      </w:tr>
      <w:tr>
        <w:tc>
          <w:tcPr>
            <w:tcW w:w="1804" w:type="dxa"/>
          </w:tcPr>
          <w:p>
            <w:pPr>
              <w:spacing w:before="20" w:after="20"/>
            </w:pPr>
            <w:r>
              <w:rPr>
                <w:sz w:val="17"/>
              </w:rPr>
              <w:t xml:space="preserve">6.0</w:t>
            </w:r>
          </w:p>
        </w:tc>
        <w:tc>
          <w:tcPr>
            <w:tcW w:w="1804" w:type="dxa"/>
          </w:tcPr>
          <w:p>
            <w:pPr>
              <w:spacing w:before="20" w:after="20"/>
            </w:pPr>
            <w:r>
              <w:rPr>
                <w:sz w:val="17"/>
              </w:rPr>
              <w:t xml:space="preserve">4.0</w:t>
            </w:r>
          </w:p>
        </w:tc>
        <w:tc>
          <w:tcPr>
            <w:tcW w:w="1804" w:type="dxa"/>
          </w:tcPr>
          <w:p>
            <w:pPr>
              <w:spacing w:before="20" w:after="20"/>
            </w:pPr>
            <w:r>
              <w:rPr>
                <w:sz w:val="17"/>
              </w:rPr>
              <w:t xml:space="preserve">0.6480</w:t>
            </w:r>
          </w:p>
        </w:tc>
        <w:tc>
          <w:tcPr>
            <w:tcW w:w="1804" w:type="dxa"/>
          </w:tcPr>
          <w:p>
            <w:pPr>
              <w:spacing w:before="20" w:after="20"/>
            </w:pPr>
            <w:r>
              <w:rPr>
                <w:sz w:val="17"/>
              </w:rPr>
              <w:t xml:space="preserve">0.4046</w:t>
            </w:r>
          </w:p>
        </w:tc>
        <w:tc>
          <w:tcPr>
            <w:tcW w:w="1804" w:type="dxa"/>
          </w:tcPr>
          <w:p>
            <w:pPr>
              <w:spacing w:before="20" w:after="20"/>
            </w:pPr>
            <w:r>
              <w:rPr>
                <w:sz w:val="17"/>
              </w:rPr>
              <w:t xml:space="preserve">0.0642</w:t>
            </w:r>
          </w:p>
        </w:tc>
      </w:tr>
      <w:tr>
        <w:tc>
          <w:tcPr>
            <w:tcW w:w="1804" w:type="dxa"/>
          </w:tcPr>
          <w:p>
            <w:pPr>
              <w:spacing w:before="20" w:after="20"/>
            </w:pPr>
            <w:r>
              <w:rPr>
                <w:sz w:val="17"/>
              </w:rPr>
              <w:t xml:space="preserve">12.0</w:t>
            </w:r>
          </w:p>
        </w:tc>
        <w:tc>
          <w:tcPr>
            <w:tcW w:w="1804" w:type="dxa"/>
          </w:tcPr>
          <w:p>
            <w:pPr>
              <w:spacing w:before="20" w:after="20"/>
            </w:pPr>
            <w:r>
              <w:rPr>
                <w:sz w:val="17"/>
              </w:rPr>
              <w:t xml:space="preserve">8.0</w:t>
            </w:r>
          </w:p>
        </w:tc>
        <w:tc>
          <w:tcPr>
            <w:tcW w:w="1804" w:type="dxa"/>
          </w:tcPr>
          <w:p>
            <w:pPr>
              <w:spacing w:before="20" w:after="20"/>
            </w:pPr>
            <w:r>
              <w:rPr>
                <w:sz w:val="17"/>
              </w:rPr>
              <w:t xml:space="preserve">0.8440</w:t>
            </w:r>
          </w:p>
        </w:tc>
        <w:tc>
          <w:tcPr>
            <w:tcW w:w="1804" w:type="dxa"/>
          </w:tcPr>
          <w:p>
            <w:pPr>
              <w:spacing w:before="20" w:after="20"/>
            </w:pPr>
            <w:r>
              <w:rPr>
                <w:sz w:val="17"/>
              </w:rPr>
              <w:t xml:space="preserve">0.5341</w:t>
            </w:r>
          </w:p>
        </w:tc>
        <w:tc>
          <w:tcPr>
            <w:tcW w:w="1804" w:type="dxa"/>
          </w:tcPr>
          <w:p>
            <w:pPr>
              <w:spacing w:before="20" w:after="20"/>
            </w:pPr>
            <w:r>
              <w:rPr>
                <w:sz w:val="17"/>
              </w:rPr>
              <w:t xml:space="preserve">0.0475</w:t>
            </w:r>
          </w:p>
        </w:tc>
      </w:tr>
    </w:tbl>
    <w:p/>
    <w:p>
      <w:pPr/>
      <w:r>
        <w:t xml:space="preserve">Monotone on both tiers and on false-positive rate, with no turnover. The stability condition permits values below 31.8, so the sweep exhausted its range rather than finding an optimum.</w:t>
      </w:r>
    </w:p>
    <w:p>
      <w:pPr/>
      <w:r>
        <w:t xml:space="preserve">The operating point matters for more than the headline figure. Per-class detection on the global model, at three settings:</w:t>
      </w:r>
    </w:p>
    <w:tbl>
      <w:tblPr>
        <w:tblStyle w:val="TableGrid"/>
        <w:tblW w:w="9020" w:type="dxa"/>
      </w:tblPr>
      <w:tblGrid>
        <w:gridCol w:w="3006"/>
        <w:gridCol w:w="3006"/>
        <w:gridCol w:w="3006"/>
      </w:tblGrid>
      <w:tr>
        <w:tc>
          <w:tcPr>
            <w:tcW w:w="3006" w:type="dxa"/>
            <w:shd w:val="clear" w:color="auto" w:fill="EDEDED"/>
          </w:tcPr>
          <w:p>
            <w:pPr>
              <w:spacing w:before="20" w:after="20"/>
            </w:pPr>
            <w:r>
              <w:rPr>
                <w:b/>
                <w:sz w:val="17"/>
              </w:rPr>
              <w:t xml:space="preserve">configuration</w:t>
            </w:r>
          </w:p>
        </w:tc>
        <w:tc>
          <w:tcPr>
            <w:tcW w:w="3006" w:type="dxa"/>
            <w:shd w:val="clear" w:color="auto" w:fill="EDEDED"/>
          </w:tcPr>
          <w:p>
            <w:pPr>
              <w:spacing w:before="20" w:after="20"/>
            </w:pPr>
            <w:r>
              <w:rPr>
                <w:b/>
                <w:sz w:val="17"/>
              </w:rPr>
              <w:t xml:space="preserve">classes detected</w:t>
            </w:r>
          </w:p>
        </w:tc>
        <w:tc>
          <w:tcPr>
            <w:tcW w:w="3006" w:type="dxa"/>
            <w:shd w:val="clear" w:color="auto" w:fill="EDEDED"/>
          </w:tcPr>
          <w:p>
            <w:pPr>
              <w:spacing w:before="20" w:after="20"/>
            </w:pPr>
            <w:r>
              <w:rPr>
                <w:b/>
                <w:sz w:val="17"/>
              </w:rPr>
              <w:t xml:space="preserve">attack classes sent entirely to benign</w:t>
            </w:r>
          </w:p>
        </w:tc>
      </w:tr>
      <w:tr>
        <w:tc>
          <w:tcPr>
            <w:tcW w:w="3006" w:type="dxa"/>
          </w:tcPr>
          <w:p>
            <w:pPr>
              <w:spacing w:before="20" w:after="20"/>
            </w:pPr>
            <w:r>
              <w:rPr>
                <w:sz w:val="17"/>
              </w:rPr>
              <w:t xml:space="preserve">PerMFL</w:t>
            </w:r>
          </w:p>
        </w:tc>
        <w:tc>
          <w:tcPr>
            <w:tcW w:w="3006" w:type="dxa"/>
          </w:tcPr>
          <w:p>
            <w:pPr>
              <w:spacing w:before="20" w:after="20"/>
            </w:pPr>
            <w:r>
              <w:rPr>
                <w:sz w:val="17"/>
              </w:rPr>
              <w:t xml:space="preserve">2 of 9</w:t>
            </w:r>
          </w:p>
        </w:tc>
        <w:tc>
          <w:tcPr>
            <w:tcW w:w="3006" w:type="dxa"/>
          </w:tcPr>
          <w:p>
            <w:pPr>
              <w:spacing w:before="20" w:after="20"/>
            </w:pPr>
            <w:r>
              <w:rPr>
                <w:sz w:val="17"/>
              </w:rPr>
              <w:t xml:space="preserve">3 of 8</w:t>
            </w:r>
          </w:p>
        </w:tc>
      </w:tr>
      <w:tr>
        <w:tc>
          <w:tcPr>
            <w:tcW w:w="3006" w:type="dxa"/>
          </w:tcPr>
          <w:p>
            <w:pPr>
              <w:spacing w:before="20" w:after="20"/>
            </w:pPr>
            <w:r>
              <w:rPr>
                <w:sz w:val="17"/>
              </w:rPr>
              <w:t xml:space="preserve">Split-λ, $\lambda_{team} = 1.5$</w:t>
            </w:r>
          </w:p>
        </w:tc>
        <w:tc>
          <w:tcPr>
            <w:tcW w:w="3006" w:type="dxa"/>
          </w:tcPr>
          <w:p>
            <w:pPr>
              <w:spacing w:before="20" w:after="20"/>
            </w:pPr>
            <w:r>
              <w:rPr>
                <w:sz w:val="17"/>
              </w:rPr>
              <w:t xml:space="preserve">3 of 9</w:t>
            </w:r>
          </w:p>
        </w:tc>
        <w:tc>
          <w:tcPr>
            <w:tcW w:w="3006" w:type="dxa"/>
          </w:tcPr>
          <w:p>
            <w:pPr>
              <w:spacing w:before="20" w:after="20"/>
            </w:pPr>
            <w:r>
              <w:rPr>
                <w:sz w:val="17"/>
              </w:rPr>
              <w:t xml:space="preserve">5 of 8</w:t>
            </w:r>
          </w:p>
        </w:tc>
      </w:tr>
      <w:tr>
        <w:tc>
          <w:tcPr>
            <w:tcW w:w="3006" w:type="dxa"/>
          </w:tcPr>
          <w:p>
            <w:pPr>
              <w:spacing w:before="20" w:after="20"/>
            </w:pPr>
            <w:r>
              <w:rPr>
                <w:sz w:val="17"/>
              </w:rPr>
              <w:t xml:space="preserve">Split-λ, $\lambda_{team} = 12.0$</w:t>
            </w:r>
          </w:p>
        </w:tc>
        <w:tc>
          <w:tcPr>
            <w:tcW w:w="3006" w:type="dxa"/>
          </w:tcPr>
          <w:p>
            <w:pPr>
              <w:spacing w:before="20" w:after="20"/>
            </w:pPr>
            <w:r>
              <w:rPr>
                <w:sz w:val="17"/>
              </w:rPr>
              <w:t xml:space="preserve">7 of 9</w:t>
            </w:r>
          </w:p>
        </w:tc>
        <w:tc>
          <w:tcPr>
            <w:tcW w:w="3006" w:type="dxa"/>
          </w:tcPr>
          <w:p>
            <w:pPr>
              <w:spacing w:before="20" w:after="20"/>
            </w:pPr>
            <w:r>
              <w:rPr>
                <w:sz w:val="17"/>
              </w:rPr>
              <w:t xml:space="preserve">1 of 8</w:t>
            </w:r>
          </w:p>
        </w:tc>
      </w:tr>
    </w:tbl>
    <w:p/>
    <w:p>
      <w:pPr/>
      <w:r>
        <w:t xml:space="preserve">At 1.5 the global model is not usable as a detector, and its errors concentrate on the benign class, which is the more dangerous failure in this setting because a misclassified attack still raises an alert while a benign classification does not. At 12.0 four further classes gain detection and that failure mode largely disappears.</w:t>
      </w:r>
    </w:p>
    <w:p>
      <w:pPr/>
      <w:r>
        <w:t xml:space="preserve">Against this, at 12.0 the team model is weighted eight times more toward its own members than toward the global model, which is closer to a per-team federated average with a weak global anchor than to the method as published. The results below use 1.5 throughout, and the higher setting is reported as evidence that the correction is not exhausted rather than as the configuration under test.</w:t>
      </w:r>
    </w:p>
    <w:p>
      <w:pPr>
        <w:pStyle w:val="Heading3"/>
      </w:pPr>
      <w:r>
        <w:t xml:space="preserve">Two mechanisms that did not help</w:t>
      </w:r>
    </w:p>
    <w:p>
      <w:pPr/>
      <w:r>
        <w:t xml:space="preserve">Two changes were implemented and measured, and neither moved a metric. Both are recorded because a negative result narrows the space of explanations.</w:t>
      </w:r>
    </w:p>
    <w:p>
      <w:pPr/>
      <w:r>
        <w:t xml:space="preserve">The drift-triggered reclustering was run with thresholds read from 1782 logged reclustering events rather than chosen a priori. Gating reduced reclustering from 99 rounds in 100 to roughly 25 and halved the variance of cluster agreement, and changed no metric on either tier by more than one standard deviation. Cluster agreement with the true partition stayed near 0.32 at every setting, so the clustering never recovers the domain structure it is intended to find.</w:t>
      </w:r>
    </w:p>
    <w:p>
      <w:pPr/>
      <w:r>
        <w:t xml:space="preserve">A class-weighted loss was implemented on the hypothesis that the objective and the reported metric disagree, since the loss is unweighted while macro F1 weights every class equally on a corpus that is 81.7 per cent benign. Weighting each class by the inverse of its frequency in a client's own labels changed nothing on either arm and left per-class detection identical. The likely reason, untested, is that weights computed within a client are close to uniform when that client holds few classes, while the imbalance the weights were meant to counter exists across clients rather than inside any one of them.</w:t>
      </w:r>
    </w:p>
    <w:p>
      <w:pPr>
        <w:pStyle w:val="Heading3"/>
      </w:pPr>
      <w:r>
        <w:t xml:space="preserve">Variance</w:t>
      </w:r>
    </w:p>
    <w:p>
      <w:pPr/>
      <w:r>
        <w:t xml:space="preserve">The most consistent effect is not the mean. Across-seed standard deviation in global accuracy falls from 0.1885 to 0.0041 on CICIDS2017, from 0.0928 to 0.0004 on TON-IoT under host partitioning, and from 0.0619 to 0.0063 on NSL-KDD. Two to three orders of magnitude, and it holds in the one configuration where the mean regressed.</w:t>
      </w:r>
    </w:p>
    <w:p>
      <w:pPr/>
      <w:r>
        <w:t xml:space="preserve">The PerMFL global model varies between roughly 0.35 and 0.73 depending on initialisation. For a security product that is arguably the more consequential finding: an unpredictable detector cannot be operated against a threshold.</w:t>
      </w:r>
    </w:p>
    <w:p>
      <w:pPr>
        <w:spacing w:before="180" w:after="60"/>
      </w:pPr>
      <w:r>
        <w:rPr>
          <w:b/>
          <w:i/>
        </w:rPr>
        <w:t xml:space="preserve">Across heterogeneity</w:t>
      </w:r>
    </w:p>
    <w:p>
      <w:pPr/>
      <w:r>
        <w:t xml:space="preserve">Sweeping client heterogeneity from near-homogeneous to strongly skewed, three seeds per point:</w:t>
      </w:r>
    </w:p>
    <w:tbl>
      <w:tblPr>
        <w:tblStyle w:val="TableGrid"/>
        <w:tblW w:w="9020" w:type="dxa"/>
      </w:tblPr>
      <w:tblGrid>
        <w:gridCol w:w="1288"/>
        <w:gridCol w:w="1288"/>
        <w:gridCol w:w="1288"/>
        <w:gridCol w:w="1288"/>
        <w:gridCol w:w="1288"/>
        <w:gridCol w:w="1288"/>
        <w:gridCol w:w="1288"/>
      </w:tblGrid>
      <w:tr>
        <w:tc>
          <w:tcPr>
            <w:tcW w:w="1288" w:type="dxa"/>
            <w:shd w:val="clear" w:color="auto" w:fill="EDEDED"/>
          </w:tcPr>
          <w:p>
            <w:pPr>
              <w:spacing w:before="20" w:after="20"/>
            </w:pPr>
            <w:r>
              <w:rPr>
                <w:b/>
                <w:sz w:val="17"/>
              </w:rPr>
              <w:t xml:space="preserve">configuration</w:t>
            </w:r>
          </w:p>
        </w:tc>
        <w:tc>
          <w:tcPr>
            <w:tcW w:w="1288" w:type="dxa"/>
            <w:shd w:val="clear" w:color="auto" w:fill="EDEDED"/>
          </w:tcPr>
          <w:p>
            <w:pPr>
              <w:spacing w:before="20" w:after="20"/>
            </w:pPr>
            <w:r>
              <w:rPr>
                <w:b/>
                <w:sz w:val="17"/>
              </w:rPr>
              <w:t xml:space="preserve">JSD</w:t>
            </w:r>
          </w:p>
        </w:tc>
        <w:tc>
          <w:tcPr>
            <w:tcW w:w="1288" w:type="dxa"/>
            <w:shd w:val="clear" w:color="auto" w:fill="EDEDED"/>
          </w:tcPr>
          <w:p>
            <w:pPr>
              <w:spacing w:before="20" w:after="20"/>
            </w:pPr>
            <w:r>
              <w:rPr>
                <w:b/>
                <w:sz w:val="17"/>
              </w:rPr>
              <w:t xml:space="preserve">ceiling</w:t>
            </w:r>
          </w:p>
        </w:tc>
        <w:tc>
          <w:tcPr>
            <w:tcW w:w="1288" w:type="dxa"/>
            <w:shd w:val="clear" w:color="auto" w:fill="EDEDED"/>
          </w:tcPr>
          <w:p>
            <w:pPr>
              <w:spacing w:before="20" w:after="20"/>
            </w:pPr>
            <w:r>
              <w:rPr>
                <w:b/>
                <w:sz w:val="17"/>
              </w:rPr>
              <w:t xml:space="preserve">DeltaPM</w:t>
            </w:r>
          </w:p>
        </w:tc>
        <w:tc>
          <w:tcPr>
            <w:tcW w:w="1288" w:type="dxa"/>
            <w:shd w:val="clear" w:color="auto" w:fill="EDEDED"/>
          </w:tcPr>
          <w:p>
            <w:pPr>
              <w:spacing w:before="20" w:after="20"/>
            </w:pPr>
            <w:r>
              <w:rPr>
                <w:b/>
                <w:sz w:val="17"/>
              </w:rPr>
              <w:t xml:space="preserve">t</w:t>
            </w:r>
          </w:p>
        </w:tc>
        <w:tc>
          <w:tcPr>
            <w:tcW w:w="1288" w:type="dxa"/>
            <w:shd w:val="clear" w:color="auto" w:fill="EDEDED"/>
          </w:tcPr>
          <w:p>
            <w:pPr>
              <w:spacing w:before="20" w:after="20"/>
            </w:pPr>
            <w:r>
              <w:rPr>
                <w:b/>
                <w:sz w:val="17"/>
              </w:rPr>
              <w:t xml:space="preserve">DeltaGM</w:t>
            </w:r>
          </w:p>
        </w:tc>
        <w:tc>
          <w:tcPr>
            <w:tcW w:w="1288" w:type="dxa"/>
            <w:shd w:val="clear" w:color="auto" w:fill="EDEDED"/>
          </w:tcPr>
          <w:p>
            <w:pPr>
              <w:spacing w:before="20" w:after="20"/>
            </w:pPr>
            <w:r>
              <w:rPr>
                <w:b/>
                <w:sz w:val="17"/>
              </w:rPr>
              <w:t xml:space="preserve">t</w:t>
            </w:r>
          </w:p>
        </w:tc>
      </w:tr>
      <w:tr>
        <w:tc>
          <w:tcPr>
            <w:tcW w:w="1288" w:type="dxa"/>
          </w:tcPr>
          <w:p>
            <w:pPr>
              <w:spacing w:before="20" w:after="20"/>
            </w:pPr>
            <w:r>
              <w:rPr>
                <w:sz w:val="17"/>
              </w:rPr>
              <w:t xml:space="preserve">CICIDS k{=}1</w:t>
            </w:r>
          </w:p>
        </w:tc>
        <w:tc>
          <w:tcPr>
            <w:tcW w:w="1288" w:type="dxa"/>
          </w:tcPr>
          <w:p>
            <w:pPr>
              <w:spacing w:before="20" w:after="20"/>
            </w:pPr>
            <w:r>
              <w:rPr>
                <w:sz w:val="17"/>
              </w:rPr>
              <w:t xml:space="preserve">0.1730</w:t>
            </w:r>
          </w:p>
        </w:tc>
        <w:tc>
          <w:tcPr>
            <w:tcW w:w="1288" w:type="dxa"/>
          </w:tcPr>
          <w:p>
            <w:pPr>
              <w:spacing w:before="20" w:after="20"/>
            </w:pPr>
            <w:r>
              <w:rPr>
                <w:sz w:val="17"/>
              </w:rPr>
              <w:t xml:space="preserve">0.308</w:t>
            </w:r>
          </w:p>
        </w:tc>
        <w:tc>
          <w:tcPr>
            <w:tcW w:w="1288" w:type="dxa"/>
          </w:tcPr>
          <w:p>
            <w:pPr>
              <w:spacing w:before="20" w:after="20"/>
            </w:pPr>
            <w:r>
              <w:rPr>
                <w:sz w:val="17"/>
              </w:rPr>
              <w:t xml:space="preserve">+0.0273</w:t>
            </w:r>
          </w:p>
        </w:tc>
        <w:tc>
          <w:tcPr>
            <w:tcW w:w="1288" w:type="dxa"/>
          </w:tcPr>
          <w:p>
            <w:pPr>
              <w:spacing w:before="20" w:after="20"/>
            </w:pPr>
            <w:r>
              <w:rPr>
                <w:sz w:val="17"/>
              </w:rPr>
              <w:t xml:space="preserve">5.45</w:t>
            </w:r>
          </w:p>
        </w:tc>
        <w:tc>
          <w:tcPr>
            <w:tcW w:w="1288" w:type="dxa"/>
          </w:tcPr>
          <w:p>
            <w:pPr>
              <w:spacing w:before="20" w:after="20"/>
            </w:pPr>
            <w:r>
              <w:rPr>
                <w:sz w:val="17"/>
              </w:rPr>
              <w:t xml:space="preserve">+0.1209</w:t>
            </w:r>
          </w:p>
        </w:tc>
        <w:tc>
          <w:tcPr>
            <w:tcW w:w="1288" w:type="dxa"/>
          </w:tcPr>
          <w:p>
            <w:pPr>
              <w:spacing w:before="20" w:after="20"/>
            </w:pPr>
            <w:r>
              <w:rPr>
                <w:sz w:val="17"/>
              </w:rPr>
              <w:t xml:space="preserve">3.49</w:t>
            </w:r>
          </w:p>
        </w:tc>
      </w:tr>
      <w:tr>
        <w:tc>
          <w:tcPr>
            <w:tcW w:w="1288" w:type="dxa"/>
          </w:tcPr>
          <w:p>
            <w:pPr>
              <w:spacing w:before="20" w:after="20"/>
            </w:pPr>
            <w:r>
              <w:rPr>
                <w:sz w:val="17"/>
              </w:rPr>
              <w:t xml:space="preserve">CICIDS k{=}3</w:t>
            </w:r>
          </w:p>
        </w:tc>
        <w:tc>
          <w:tcPr>
            <w:tcW w:w="1288" w:type="dxa"/>
          </w:tcPr>
          <w:p>
            <w:pPr>
              <w:spacing w:before="20" w:after="20"/>
            </w:pPr>
            <w:r>
              <w:rPr>
                <w:sz w:val="17"/>
              </w:rPr>
              <w:t xml:space="preserve">0.1414</w:t>
            </w:r>
          </w:p>
        </w:tc>
        <w:tc>
          <w:tcPr>
            <w:tcW w:w="1288" w:type="dxa"/>
          </w:tcPr>
          <w:p>
            <w:pPr>
              <w:spacing w:before="20" w:after="20"/>
            </w:pPr>
            <w:r>
              <w:rPr>
                <w:sz w:val="17"/>
              </w:rPr>
              <w:t xml:space="preserve">0.596</w:t>
            </w:r>
          </w:p>
        </w:tc>
        <w:tc>
          <w:tcPr>
            <w:tcW w:w="1288" w:type="dxa"/>
          </w:tcPr>
          <w:p>
            <w:pPr>
              <w:spacing w:before="20" w:after="20"/>
            </w:pPr>
            <w:r>
              <w:rPr>
                <w:sz w:val="17"/>
              </w:rPr>
              <w:t xml:space="preserve">+0.1160</w:t>
            </w:r>
          </w:p>
        </w:tc>
        <w:tc>
          <w:tcPr>
            <w:tcW w:w="1288" w:type="dxa"/>
          </w:tcPr>
          <w:p>
            <w:pPr>
              <w:spacing w:before="20" w:after="20"/>
            </w:pPr>
            <w:r>
              <w:rPr>
                <w:sz w:val="17"/>
              </w:rPr>
              <w:t xml:space="preserve">32.27</w:t>
            </w:r>
          </w:p>
        </w:tc>
        <w:tc>
          <w:tcPr>
            <w:tcW w:w="1288" w:type="dxa"/>
          </w:tcPr>
          <w:p>
            <w:pPr>
              <w:spacing w:before="20" w:after="20"/>
            </w:pPr>
            <w:r>
              <w:rPr>
                <w:sz w:val="17"/>
              </w:rPr>
              <w:t xml:space="preserve">+0.3973</w:t>
            </w:r>
          </w:p>
        </w:tc>
        <w:tc>
          <w:tcPr>
            <w:tcW w:w="1288" w:type="dxa"/>
          </w:tcPr>
          <w:p>
            <w:pPr>
              <w:spacing w:before="20" w:after="20"/>
            </w:pPr>
            <w:r>
              <w:rPr>
                <w:sz w:val="17"/>
              </w:rPr>
              <w:t xml:space="preserve">44.69</w:t>
            </w:r>
          </w:p>
        </w:tc>
      </w:tr>
      <w:tr>
        <w:tc>
          <w:tcPr>
            <w:tcW w:w="1288" w:type="dxa"/>
          </w:tcPr>
          <w:p>
            <w:pPr>
              <w:spacing w:before="20" w:after="20"/>
            </w:pPr>
            <w:r>
              <w:rPr>
                <w:sz w:val="17"/>
              </w:rPr>
              <w:t xml:space="preserve">CICIDS k{=}5</w:t>
            </w:r>
          </w:p>
        </w:tc>
        <w:tc>
          <w:tcPr>
            <w:tcW w:w="1288" w:type="dxa"/>
          </w:tcPr>
          <w:p>
            <w:pPr>
              <w:spacing w:before="20" w:after="20"/>
            </w:pPr>
            <w:r>
              <w:rPr>
                <w:sz w:val="17"/>
              </w:rPr>
              <w:t xml:space="preserve">0.0851</w:t>
            </w:r>
          </w:p>
        </w:tc>
        <w:tc>
          <w:tcPr>
            <w:tcW w:w="1288" w:type="dxa"/>
          </w:tcPr>
          <w:p>
            <w:pPr>
              <w:spacing w:before="20" w:after="20"/>
            </w:pPr>
            <w:r>
              <w:rPr>
                <w:sz w:val="17"/>
              </w:rPr>
              <w:t xml:space="preserve">0.795</w:t>
            </w:r>
          </w:p>
        </w:tc>
        <w:tc>
          <w:tcPr>
            <w:tcW w:w="1288" w:type="dxa"/>
          </w:tcPr>
          <w:p>
            <w:pPr>
              <w:spacing w:before="20" w:after="20"/>
            </w:pPr>
            <w:r>
              <w:rPr>
                <w:sz w:val="17"/>
              </w:rPr>
              <w:t xml:space="preserve">+0.2306</w:t>
            </w:r>
          </w:p>
        </w:tc>
        <w:tc>
          <w:tcPr>
            <w:tcW w:w="1288" w:type="dxa"/>
          </w:tcPr>
          <w:p>
            <w:pPr>
              <w:spacing w:before="20" w:after="20"/>
            </w:pPr>
            <w:r>
              <w:rPr>
                <w:sz w:val="17"/>
              </w:rPr>
              <w:t xml:space="preserve">36.52</w:t>
            </w:r>
          </w:p>
        </w:tc>
        <w:tc>
          <w:tcPr>
            <w:tcW w:w="1288" w:type="dxa"/>
          </w:tcPr>
          <w:p>
            <w:pPr>
              <w:spacing w:before="20" w:after="20"/>
            </w:pPr>
            <w:r>
              <w:rPr>
                <w:sz w:val="17"/>
              </w:rPr>
              <w:t xml:space="preserve">+0.5130</w:t>
            </w:r>
          </w:p>
        </w:tc>
        <w:tc>
          <w:tcPr>
            <w:tcW w:w="1288" w:type="dxa"/>
          </w:tcPr>
          <w:p>
            <w:pPr>
              <w:spacing w:before="20" w:after="20"/>
            </w:pPr>
            <w:r>
              <w:rPr>
                <w:sz w:val="17"/>
              </w:rPr>
              <w:t xml:space="preserve">58.02</w:t>
            </w:r>
          </w:p>
        </w:tc>
      </w:tr>
      <w:tr>
        <w:tc>
          <w:tcPr>
            <w:tcW w:w="1288" w:type="dxa"/>
          </w:tcPr>
          <w:p>
            <w:pPr>
              <w:spacing w:before="20" w:after="20"/>
            </w:pPr>
            <w:r>
              <w:rPr>
                <w:sz w:val="17"/>
              </w:rPr>
              <w:t xml:space="preserve">CICIDS k{=}8</w:t>
            </w:r>
          </w:p>
        </w:tc>
        <w:tc>
          <w:tcPr>
            <w:tcW w:w="1288" w:type="dxa"/>
          </w:tcPr>
          <w:p>
            <w:pPr>
              <w:spacing w:before="20" w:after="20"/>
            </w:pPr>
            <w:r>
              <w:rPr>
                <w:sz w:val="17"/>
              </w:rPr>
              <w:t xml:space="preserve">0.0001</w:t>
            </w:r>
          </w:p>
        </w:tc>
        <w:tc>
          <w:tcPr>
            <w:tcW w:w="1288" w:type="dxa"/>
          </w:tcPr>
          <w:p>
            <w:pPr>
              <w:spacing w:before="20" w:after="20"/>
            </w:pPr>
            <w:r>
              <w:rPr>
                <w:sz w:val="17"/>
              </w:rPr>
              <w:t xml:space="preserve">1.000</w:t>
            </w:r>
          </w:p>
        </w:tc>
        <w:tc>
          <w:tcPr>
            <w:tcW w:w="1288" w:type="dxa"/>
          </w:tcPr>
          <w:p>
            <w:pPr>
              <w:spacing w:before="20" w:after="20"/>
            </w:pPr>
            <w:r>
              <w:rPr>
                <w:sz w:val="17"/>
              </w:rPr>
              <w:t xml:space="preserve">+0.3256</w:t>
            </w:r>
          </w:p>
        </w:tc>
        <w:tc>
          <w:tcPr>
            <w:tcW w:w="1288" w:type="dxa"/>
          </w:tcPr>
          <w:p>
            <w:pPr>
              <w:spacing w:before="20" w:after="20"/>
            </w:pPr>
            <w:r>
              <w:rPr>
                <w:sz w:val="17"/>
              </w:rPr>
              <w:t xml:space="preserve">82.92</w:t>
            </w:r>
          </w:p>
        </w:tc>
        <w:tc>
          <w:tcPr>
            <w:tcW w:w="1288" w:type="dxa"/>
          </w:tcPr>
          <w:p>
            <w:pPr>
              <w:spacing w:before="20" w:after="20"/>
            </w:pPr>
            <w:r>
              <w:rPr>
                <w:sz w:val="17"/>
              </w:rPr>
              <w:t xml:space="preserve">+0.7049</w:t>
            </w:r>
          </w:p>
        </w:tc>
        <w:tc>
          <w:tcPr>
            <w:tcW w:w="1288" w:type="dxa"/>
          </w:tcPr>
          <w:p>
            <w:pPr>
              <w:spacing w:before="20" w:after="20"/>
            </w:pPr>
            <w:r>
              <w:rPr>
                <w:sz w:val="17"/>
              </w:rPr>
              <w:t xml:space="preserve">212.62</w:t>
            </w:r>
          </w:p>
        </w:tc>
      </w:tr>
      <w:tr>
        <w:tc>
          <w:tcPr>
            <w:tcW w:w="1288" w:type="dxa"/>
          </w:tcPr>
          <w:p>
            <w:pPr>
              <w:spacing w:before="20" w:after="20"/>
            </w:pPr>
            <w:r>
              <w:rPr>
                <w:sz w:val="17"/>
              </w:rPr>
              <w:t xml:space="preserve">TON-IoT alpha{=}0.1</w:t>
            </w:r>
          </w:p>
        </w:tc>
        <w:tc>
          <w:tcPr>
            <w:tcW w:w="1288" w:type="dxa"/>
          </w:tcPr>
          <w:p>
            <w:pPr>
              <w:spacing w:before="20" w:after="20"/>
            </w:pPr>
            <w:r>
              <w:rPr>
                <w:sz w:val="17"/>
              </w:rPr>
              <w:t xml:space="preserve">0.7591</w:t>
            </w:r>
          </w:p>
        </w:tc>
        <w:tc>
          <w:tcPr>
            <w:tcW w:w="1288" w:type="dxa"/>
          </w:tcPr>
          <w:p>
            <w:pPr>
              <w:spacing w:before="20" w:after="20"/>
            </w:pPr>
            <w:r>
              <w:rPr>
                <w:sz w:val="17"/>
              </w:rPr>
              <w:t xml:space="preserve">0.781</w:t>
            </w:r>
          </w:p>
        </w:tc>
        <w:tc>
          <w:tcPr>
            <w:tcW w:w="1288" w:type="dxa"/>
          </w:tcPr>
          <w:p>
            <w:pPr>
              <w:spacing w:before="20" w:after="20"/>
            </w:pPr>
            <w:r>
              <w:rPr>
                <w:sz w:val="17"/>
              </w:rPr>
              <w:t xml:space="preserve">+0.0391</w:t>
            </w:r>
          </w:p>
        </w:tc>
        <w:tc>
          <w:tcPr>
            <w:tcW w:w="1288" w:type="dxa"/>
          </w:tcPr>
          <w:p>
            <w:pPr>
              <w:spacing w:before="20" w:after="20"/>
            </w:pPr>
            <w:r>
              <w:rPr>
                <w:sz w:val="17"/>
              </w:rPr>
              <w:t xml:space="preserve">5.85</w:t>
            </w:r>
          </w:p>
        </w:tc>
        <w:tc>
          <w:tcPr>
            <w:tcW w:w="1288" w:type="dxa"/>
          </w:tcPr>
          <w:p>
            <w:pPr>
              <w:spacing w:before="20" w:after="20"/>
            </w:pPr>
            <w:r>
              <w:rPr>
                <w:sz w:val="17"/>
              </w:rPr>
              <w:t xml:space="preserve">+0.1573</w:t>
            </w:r>
          </w:p>
        </w:tc>
        <w:tc>
          <w:tcPr>
            <w:tcW w:w="1288" w:type="dxa"/>
          </w:tcPr>
          <w:p>
            <w:pPr>
              <w:spacing w:before="20" w:after="20"/>
            </w:pPr>
            <w:r>
              <w:rPr>
                <w:sz w:val="17"/>
              </w:rPr>
              <w:t xml:space="preserve">7.77</w:t>
            </w:r>
          </w:p>
        </w:tc>
      </w:tr>
      <w:tr>
        <w:tc>
          <w:tcPr>
            <w:tcW w:w="1288" w:type="dxa"/>
          </w:tcPr>
          <w:p>
            <w:pPr>
              <w:spacing w:before="20" w:after="20"/>
            </w:pPr>
            <w:r>
              <w:rPr>
                <w:sz w:val="17"/>
              </w:rPr>
              <w:t xml:space="preserve">TON-IoT alpha{=}0.5</w:t>
            </w:r>
          </w:p>
        </w:tc>
        <w:tc>
          <w:tcPr>
            <w:tcW w:w="1288" w:type="dxa"/>
          </w:tcPr>
          <w:p>
            <w:pPr>
              <w:spacing w:before="20" w:after="20"/>
            </w:pPr>
            <w:r>
              <w:rPr>
                <w:sz w:val="17"/>
              </w:rPr>
              <w:t xml:space="preserve">0.3909</w:t>
            </w:r>
          </w:p>
        </w:tc>
        <w:tc>
          <w:tcPr>
            <w:tcW w:w="1288" w:type="dxa"/>
          </w:tcPr>
          <w:p>
            <w:pPr>
              <w:spacing w:before="20" w:after="20"/>
            </w:pPr>
            <w:r>
              <w:rPr>
                <w:sz w:val="17"/>
              </w:rPr>
              <w:t xml:space="preserve">0.985</w:t>
            </w:r>
          </w:p>
        </w:tc>
        <w:tc>
          <w:tcPr>
            <w:tcW w:w="1288" w:type="dxa"/>
          </w:tcPr>
          <w:p>
            <w:pPr>
              <w:spacing w:before="20" w:after="20"/>
            </w:pPr>
            <w:r>
              <w:rPr>
                <w:sz w:val="17"/>
              </w:rPr>
              <w:t xml:space="preserve">+0.1094</w:t>
            </w:r>
          </w:p>
        </w:tc>
        <w:tc>
          <w:tcPr>
            <w:tcW w:w="1288" w:type="dxa"/>
          </w:tcPr>
          <w:p>
            <w:pPr>
              <w:spacing w:before="20" w:after="20"/>
            </w:pPr>
            <w:r>
              <w:rPr>
                <w:sz w:val="17"/>
              </w:rPr>
              <w:t xml:space="preserve">17.43</w:t>
            </w:r>
          </w:p>
        </w:tc>
        <w:tc>
          <w:tcPr>
            <w:tcW w:w="1288" w:type="dxa"/>
          </w:tcPr>
          <w:p>
            <w:pPr>
              <w:spacing w:before="20" w:after="20"/>
            </w:pPr>
            <w:r>
              <w:rPr>
                <w:sz w:val="17"/>
              </w:rPr>
              <w:t xml:space="preserve">+0.2881</w:t>
            </w:r>
          </w:p>
        </w:tc>
        <w:tc>
          <w:tcPr>
            <w:tcW w:w="1288" w:type="dxa"/>
          </w:tcPr>
          <w:p>
            <w:pPr>
              <w:spacing w:before="20" w:after="20"/>
            </w:pPr>
            <w:r>
              <w:rPr>
                <w:sz w:val="17"/>
              </w:rPr>
              <w:t xml:space="preserve">8.87</w:t>
            </w:r>
          </w:p>
        </w:tc>
      </w:tr>
      <w:tr>
        <w:tc>
          <w:tcPr>
            <w:tcW w:w="1288" w:type="dxa"/>
          </w:tcPr>
          <w:p>
            <w:pPr>
              <w:spacing w:before="20" w:after="20"/>
            </w:pPr>
            <w:r>
              <w:rPr>
                <w:sz w:val="17"/>
              </w:rPr>
              <w:t xml:space="preserve">TON-IoT alpha{=}5.0</w:t>
            </w:r>
          </w:p>
        </w:tc>
        <w:tc>
          <w:tcPr>
            <w:tcW w:w="1288" w:type="dxa"/>
          </w:tcPr>
          <w:p>
            <w:pPr>
              <w:spacing w:before="20" w:after="20"/>
            </w:pPr>
            <w:r>
              <w:rPr>
                <w:sz w:val="17"/>
              </w:rPr>
              <w:t xml:space="preserve">0.0646</w:t>
            </w:r>
          </w:p>
        </w:tc>
        <w:tc>
          <w:tcPr>
            <w:tcW w:w="1288" w:type="dxa"/>
          </w:tcPr>
          <w:p>
            <w:pPr>
              <w:spacing w:before="20" w:after="20"/>
            </w:pPr>
            <w:r>
              <w:rPr>
                <w:sz w:val="17"/>
              </w:rPr>
              <w:t xml:space="preserve">1.000</w:t>
            </w:r>
          </w:p>
        </w:tc>
        <w:tc>
          <w:tcPr>
            <w:tcW w:w="1288" w:type="dxa"/>
          </w:tcPr>
          <w:p>
            <w:pPr>
              <w:spacing w:before="20" w:after="20"/>
            </w:pPr>
            <w:r>
              <w:rPr>
                <w:sz w:val="17"/>
              </w:rPr>
              <w:t xml:space="preserve">+0.1614</w:t>
            </w:r>
          </w:p>
        </w:tc>
        <w:tc>
          <w:tcPr>
            <w:tcW w:w="1288" w:type="dxa"/>
          </w:tcPr>
          <w:p>
            <w:pPr>
              <w:spacing w:before="20" w:after="20"/>
            </w:pPr>
            <w:r>
              <w:rPr>
                <w:sz w:val="17"/>
              </w:rPr>
              <w:t xml:space="preserve">19.98</w:t>
            </w:r>
          </w:p>
        </w:tc>
        <w:tc>
          <w:tcPr>
            <w:tcW w:w="1288" w:type="dxa"/>
          </w:tcPr>
          <w:p>
            <w:pPr>
              <w:spacing w:before="20" w:after="20"/>
            </w:pPr>
            <w:r>
              <w:rPr>
                <w:sz w:val="17"/>
              </w:rPr>
              <w:t xml:space="preserve">+0.3764</w:t>
            </w:r>
          </w:p>
        </w:tc>
        <w:tc>
          <w:tcPr>
            <w:tcW w:w="1288" w:type="dxa"/>
          </w:tcPr>
          <w:p>
            <w:pPr>
              <w:spacing w:before="20" w:after="20"/>
            </w:pPr>
            <w:r>
              <w:rPr>
                <w:sz w:val="17"/>
              </w:rPr>
              <w:t xml:space="preserve">26.75</w:t>
            </w:r>
          </w:p>
        </w:tc>
      </w:tr>
      <w:tr>
        <w:tc>
          <w:tcPr>
            <w:tcW w:w="1288" w:type="dxa"/>
          </w:tcPr>
          <w:p>
            <w:pPr>
              <w:spacing w:before="20" w:after="20"/>
            </w:pPr>
            <w:r>
              <w:rPr>
                <w:sz w:val="17"/>
              </w:rPr>
              <w:t xml:space="preserve">NSL-KDD alpha{=}0.1</w:t>
            </w:r>
          </w:p>
        </w:tc>
        <w:tc>
          <w:tcPr>
            <w:tcW w:w="1288" w:type="dxa"/>
          </w:tcPr>
          <w:p>
            <w:pPr>
              <w:spacing w:before="20" w:after="20"/>
            </w:pPr>
            <w:r>
              <w:rPr>
                <w:sz w:val="17"/>
              </w:rPr>
              <w:t xml:space="preserve">0.5379</w:t>
            </w:r>
          </w:p>
        </w:tc>
        <w:tc>
          <w:tcPr>
            <w:tcW w:w="1288" w:type="dxa"/>
          </w:tcPr>
          <w:p>
            <w:pPr>
              <w:spacing w:before="20" w:after="20"/>
            </w:pPr>
            <w:r>
              <w:rPr>
                <w:sz w:val="17"/>
              </w:rPr>
              <w:t xml:space="preserve">1.000</w:t>
            </w:r>
          </w:p>
        </w:tc>
        <w:tc>
          <w:tcPr>
            <w:tcW w:w="1288" w:type="dxa"/>
          </w:tcPr>
          <w:p>
            <w:pPr>
              <w:spacing w:before="20" w:after="20"/>
            </w:pPr>
            <w:r>
              <w:rPr>
                <w:sz w:val="17"/>
              </w:rPr>
              <w:t xml:space="preserve">+0.1365</w:t>
            </w:r>
          </w:p>
        </w:tc>
        <w:tc>
          <w:tcPr>
            <w:tcW w:w="1288" w:type="dxa"/>
          </w:tcPr>
          <w:p>
            <w:pPr>
              <w:spacing w:before="20" w:after="20"/>
            </w:pPr>
            <w:r>
              <w:rPr>
                <w:sz w:val="17"/>
              </w:rPr>
              <w:t xml:space="preserve">12.95</w:t>
            </w:r>
          </w:p>
        </w:tc>
        <w:tc>
          <w:tcPr>
            <w:tcW w:w="1288" w:type="dxa"/>
          </w:tcPr>
          <w:p>
            <w:pPr>
              <w:spacing w:before="20" w:after="20"/>
            </w:pPr>
            <w:r>
              <w:rPr>
                <w:sz w:val="17"/>
              </w:rPr>
              <w:t xml:space="preserve">+0.1592</w:t>
            </w:r>
          </w:p>
        </w:tc>
        <w:tc>
          <w:tcPr>
            <w:tcW w:w="1288" w:type="dxa"/>
          </w:tcPr>
          <w:p>
            <w:pPr>
              <w:spacing w:before="20" w:after="20"/>
            </w:pPr>
            <w:r>
              <w:rPr>
                <w:sz w:val="17"/>
              </w:rPr>
              <w:t xml:space="preserve">5.53</w:t>
            </w:r>
          </w:p>
        </w:tc>
      </w:tr>
      <w:tr>
        <w:tc>
          <w:tcPr>
            <w:tcW w:w="1288" w:type="dxa"/>
          </w:tcPr>
          <w:p>
            <w:pPr>
              <w:spacing w:before="20" w:after="20"/>
            </w:pPr>
            <w:r>
              <w:rPr>
                <w:sz w:val="17"/>
              </w:rPr>
              <w:t xml:space="preserve">NSL-KDD alpha{=}5.0</w:t>
            </w:r>
          </w:p>
        </w:tc>
        <w:tc>
          <w:tcPr>
            <w:tcW w:w="1288" w:type="dxa"/>
          </w:tcPr>
          <w:p>
            <w:pPr>
              <w:spacing w:before="20" w:after="20"/>
            </w:pPr>
            <w:r>
              <w:rPr>
                <w:sz w:val="17"/>
              </w:rPr>
              <w:t xml:space="preserve">0.0333</w:t>
            </w:r>
          </w:p>
        </w:tc>
        <w:tc>
          <w:tcPr>
            <w:tcW w:w="1288" w:type="dxa"/>
          </w:tcPr>
          <w:p>
            <w:pPr>
              <w:spacing w:before="20" w:after="20"/>
            </w:pPr>
            <w:r>
              <w:rPr>
                <w:sz w:val="17"/>
              </w:rPr>
              <w:t xml:space="preserve">1.000</w:t>
            </w:r>
          </w:p>
        </w:tc>
        <w:tc>
          <w:tcPr>
            <w:tcW w:w="1288" w:type="dxa"/>
          </w:tcPr>
          <w:p>
            <w:pPr>
              <w:spacing w:before="20" w:after="20"/>
            </w:pPr>
            <w:r>
              <w:rPr>
                <w:sz w:val="17"/>
              </w:rPr>
              <w:t xml:space="preserve">+0.1181</w:t>
            </w:r>
          </w:p>
        </w:tc>
        <w:tc>
          <w:tcPr>
            <w:tcW w:w="1288" w:type="dxa"/>
          </w:tcPr>
          <w:p>
            <w:pPr>
              <w:spacing w:before="20" w:after="20"/>
            </w:pPr>
            <w:r>
              <w:rPr>
                <w:sz w:val="17"/>
              </w:rPr>
              <w:t xml:space="preserve">16.28</w:t>
            </w:r>
          </w:p>
        </w:tc>
        <w:tc>
          <w:tcPr>
            <w:tcW w:w="1288" w:type="dxa"/>
          </w:tcPr>
          <w:p>
            <w:pPr>
              <w:spacing w:before="20" w:after="20"/>
            </w:pPr>
            <w:r>
              <w:rPr>
                <w:sz w:val="17"/>
              </w:rPr>
              <w:t xml:space="preserve">+0.1129</w:t>
            </w:r>
          </w:p>
        </w:tc>
        <w:tc>
          <w:tcPr>
            <w:tcW w:w="1288" w:type="dxa"/>
          </w:tcPr>
          <w:p>
            <w:pPr>
              <w:spacing w:before="20" w:after="20"/>
            </w:pPr>
            <w:r>
              <w:rPr>
                <w:sz w:val="17"/>
              </w:rPr>
              <w:t xml:space="preserve">5.76</w:t>
            </w:r>
          </w:p>
        </w:tc>
      </w:tr>
    </w:tbl>
    <w:p/>
    <w:p>
      <w:pPr>
        <w:jc w:val="center"/>
        <w:spacing w:before="180" w:after="60"/>
      </w:pPr>
      <w:r>
        <w:drawing>
          <wp:inline distT="0" distB="0" distL="0" distR="0">
            <wp:extent cx="5486400" cy="218655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Fig5"/>
                    <a:stretch>
                      <a:fillRect/>
                    </a:stretch>
                  </pic:blipFill>
                  <pic:spPr>
                    <a:xfrm>
                      <a:off x="0" y="0"/>
                      <a:ext cx="5486400" cy="2186550"/>
                    </a:xfrm>
                    <a:prstGeom prst="rect">
                      <a:avLst/>
                    </a:prstGeom>
                  </pic:spPr>
                </pic:pic>
              </a:graphicData>
            </a:graphic>
          </wp:inline>
        </w:drawing>
      </w:r>
    </w:p>
    <w:p>
      <w:pPr>
        <w:jc w:val="center"/>
        <w:spacing w:after="220"/>
      </w:pPr>
      <w:r>
        <w:rPr>
          <w:b/>
          <w:sz w:val="18"/>
        </w:rPr>
        <w:t xml:space="preserve">Figure 5: </w:t>
      </w:r>
      <w:r>
        <w:rPr>
          <w:sz w:val="18"/>
        </w:rPr>
        <w:t xml:space="preserve">Gain from separating the two roles of lambda, against client heterogeneity. The trend is negative on CICIDS2017 and TON-IoT and positive on NSL-KDD.</w:t>
      </w:r>
    </w:p>
    <w:p>
      <w:pPr/>
      <w:r>
        <w:t xml:space="preserve">The correction improves both models at every level on all three datasets, and the improvement grows as heterogeneity falls. On CICIDS2017 the personalised gain rises from 0.027 at the most skewed setting to 0.326 at the least, and the global gain from 0.121 to 0.705.</w:t>
      </w:r>
    </w:p>
    <w:p>
      <w:pPr/>
      <w:r>
        <w:t xml:space="preserve">That direction was not what the project expected, and the earlier expectation is worth recording as having been wrong. The reasoning had been that the team weight matters more when members diverge. The measurements say the opposite, and the explanation is straightforward in hindsight: the term the weight controls is the average of the team's members, and an average of divergent members carries little usable signal. When members agree, the same term carries a great deal. The correction lets the model use information it already had.</w:t>
      </w:r>
    </w:p>
    <w:p>
      <w:pPr/>
      <w:r>
        <w:t xml:space="preserve">At the least skewed CICIDS setting the Split-λ configuration reaches 0.8432 personalised and 0.8546 global macro F1 against a ceiling of 1.0, compared with 0.5176 and 0.1497 for the PerMFL configuration.</w:t>
      </w:r>
    </w:p>
    <w:p>
      <w:pPr>
        <w:spacing w:before="180" w:after="60"/>
      </w:pPr>
      <w:r>
        <w:rPr>
          <w:b/>
          <w:i/>
        </w:rPr>
        <w:t xml:space="preserve">A regression</w:t>
      </w:r>
    </w:p>
    <w:p>
      <w:pPr/>
      <w:r>
        <w:t xml:space="preserve">One configuration appeared to go the other way, and the reason it did not is instructive. Under attack-domain partitioning on TON-IoT, at ten global rounds with five hundred local steps, global macro F1 fell from 0.0917 to 0.0403, $t = -6.21$, losing on all five seeds, with Split-λ global accuracy pinned at 0.2369, exactly the majority-class rate.</w:t>
      </w:r>
    </w:p>
    <w:p>
      <w:pPr/>
      <w:r>
        <w:t xml:space="preserve">Re-running the same comparison at one hundred global rounds with twenty local steps, the shape used everywhere else in this study and by the original paper, reverses it completely: global macro F1 rises from 0.1007 to 0.1574, $t = 4.14$, winning on all five seeds.</w:t>
      </w:r>
    </w:p>
    <w:p>
      <w:pPr/>
      <w:r>
        <w:t xml:space="preserve">The apparent regression was an artefact of measuring both models before either had converged. It is reported here rather than removed because the earlier configuration was a legitimate reading of the loader defaults at the time, and because the episode establishes that horizon choice can invert a result's sign on this data.</w:t>
      </w:r>
    </w:p>
    <w:p>
      <w:pPr>
        <w:pStyle w:val="Heading3"/>
      </w:pPr>
      <w:r>
        <w:t xml:space="preserve">Local training as a baseline</w:t>
      </w:r>
    </w:p>
    <w:p>
      <w:pPr/>
      <w:r>
        <w:t xml:space="preserve">A baseline with no federation at all, each client training alone on its own data, outperforms every federated configuration on personalised macro F1 at every heterogeneity level tested. On CICIDS2017 it scores 0.9504 against the best federated result of 0.9379.</w:t>
      </w:r>
    </w:p>
    <w:p>
      <w:pPr/>
      <w:r>
        <w:t xml:space="preserve">Two qualifications matter. When clients are evaluated on classes absent from their training data, the local baseline loses more than half its score, from 0.9525 to 0.4012 at one setting, because a class absent from the loss cannot be predicted. And the local baseline produces no global model at all, so it offers nothing to a host with no local data or one that has not yet seen a given attack.</w:t>
      </w:r>
    </w:p>
    <w:p>
      <w:pPr/>
      <w:r>
        <w:t xml:space="preserve">The honest conclusion is that federated personalisation does not pay on this data, and that the value of the method lies in its global model. That makes the finding in Section~(see above) more consequential rather than less: the published parameterisation cripples precisely the component that justifies federating.</w:t>
      </w:r>
    </w:p>
    <w:p>
      <w:pPr>
        <w:pStyle w:val="Heading3"/>
      </w:pPr>
      <w:r>
        <w:t xml:space="preserve">Critical evaluation</w:t>
      </w:r>
    </w:p>
    <w:p>
      <w:pPr>
        <w:spacing w:before="180" w:after="60"/>
      </w:pPr>
      <w:r>
        <w:rPr>
          <w:b/>
          <w:i/>
        </w:rPr>
        <w:t xml:space="preserve">What the work establishes</w:t>
      </w:r>
    </w:p>
    <w:p>
      <w:pPr/>
      <w:r>
        <w:t xml:space="preserve">The reproduction is exact and the defect catalogue is verifiable line by line, so neither depends on trusting the analysis. The tier finding is supported across three datasets and four team counts with a mechanism derived from the update rule rather than inferred from outcomes, and the mechanism predicts the regression in Section~(see above) as well as the improvements. The decoupling result is paired, seeded and significant across twelve configurations.</w:t>
      </w:r>
    </w:p>
    <w:p>
      <w:pPr>
        <w:spacing w:before="180" w:after="60"/>
      </w:pPr>
      <w:r>
        <w:rPr>
          <w:b/>
          <w:i/>
        </w:rPr>
        <w:t xml:space="preserve">What it does not establish</w:t>
      </w:r>
    </w:p>
    <w:p>
      <w:pPr/>
      <w:r>
        <w:rPr>
          <w:highlight w:val="yellow"/>
        </w:rPr>
        <w:t xml:space="preserve">The comparison against other methods is absent. Neither SCMoE-PFL nor CFMD-i publishes an implementation, so no relative claim about accuracy or efficiency is made. Runs completed in minutes on one CPU core where a mixture-of-experts implementation required hours on a GPU, but the client counts, datasets and software stacks differ, so that observation is structural rather than measured.</w:t>
      </w:r>
    </w:p>
    <w:p>
      <w:pPr/>
      <w:r>
        <w:t xml:space="preserve">The baselines released with the base implementation were not run on the intrusion detection data. Only the method under test carries the metric instrumentation this study requires, and extending it to the others was not completed. The consequence is that the results position PerMFL against its own configurations and against local training, not against the federated literature.</w:t>
      </w:r>
    </w:p>
    <w:p>
      <w:pPr/>
      <w:r>
        <w:rPr>
          <w:highlight w:val="yellow"/>
        </w:rPr>
        <w:t xml:space="preserve">Several exploratory results rest on single runs. The local depth and communication sweeps are reported as exploratory for that reason, though their effects, up to 0.29 macro F1, are far outside the noise floor.</w:t>
      </w:r>
    </w:p>
    <w:p>
      <w:pPr/>
      <w:r>
        <w:rPr>
          <w:highlight w:val="yellow"/>
        </w:rPr>
        <w:t xml:space="preserve">The clustering signal is parameter-space only. CFMD-i additionally uses an output-space divergence, which is likely the better signal under label skew, since two clients can hold near-identical weights and behave differently. Given that the term the clustering feeds is weighted at 3.3 per cent, a better signal would probably not change the conclusion, but that is an argument rather than a measurement.</w:t>
      </w:r>
    </w:p>
    <w:p>
      <w:pPr>
        <w:spacing w:before="180" w:after="60"/>
      </w:pPr>
      <w:r>
        <w:rPr>
          <w:b/>
          <w:i/>
        </w:rPr>
        <w:t xml:space="preserve">Threats to validity</w:t>
      </w:r>
    </w:p>
    <w:p>
      <w:pPr/>
      <w:r>
        <w:t xml:space="preserve">The heterogeneity measure is the divergence between label distributions, which does not capture feature-space or concept differences. A partition producing identical label distributions with different decision boundaries would register as homogeneous.</w:t>
      </w:r>
    </w:p>
    <w:p>
      <w:pPr/>
      <w:r>
        <w:rPr>
          <w:highlight w:val="yellow"/>
        </w:rPr>
        <w:t xml:space="preserve">The structural ceiling calculation assumes a client can only predict classes it trained on. A model that generalises across classes could exceed it, so the bound is conservative rather than exact.</w:t>
      </w:r>
    </w:p>
    <w:p>
      <w:pPr/>
      <w:r>
        <w:t xml:space="preserve">The per-client cap flattens client sizes to a narrow band, suppressing quantity skew that real deployments exhibit. The host-based partition is the exception, with client sizes spanning 1,984 to 37,832 rows.</w:t>
      </w:r>
    </w:p>
    <w:p>
      <w:pPr/>
      <w:r>
        <w:t xml:space="preserve">Two datasets share an origin, and CICIDS2017 and NSL-KDD are both laboratory captures with scripted attacks. Agreement between them is weaker evidence than agreement between independent sources would be.</w:t>
      </w:r>
    </w:p>
    <w:p>
      <w:r>
        <w:br w:type="page"/>
      </w:r>
    </w:p>
    <w:p>
      <w:pPr>
        <w:pStyle w:val="Heading2"/>
      </w:pPr>
      <w:r>
        <w:t xml:space="preserve">Conclusion and Further Work</w:t>
      </w:r>
    </w:p>
    <w:p>
      <w:pPr>
        <w:pStyle w:val="Heading3"/>
      </w:pPr>
      <w:r>
        <w:t xml:space="preserve">Summary</w:t>
      </w:r>
    </w:p>
    <w:p>
      <w:pPr/>
      <w:r>
        <w:t xml:space="preserve">The project asked whether PerMFL transfers to network intrusion detection, what has to change for it to transfer, and whether the architectural claim that motivates it holds on this kind of data.</w:t>
      </w:r>
    </w:p>
    <w:p>
      <w:pPr/>
      <w:r>
        <w:rPr>
          <w:highlight w:val="yellow"/>
        </w:rPr>
        <w:t xml:space="preserve">It transfers, but not as published. The released implementation reproduces its own headline figure to within 0.04 percentage points, and it does so while carrying a defect that silently overrides a documented hyperparameter with an unrelated loop count. That the published number is reached anyway is evidence the defect was present when the results were produced.</w:t>
      </w:r>
    </w:p>
    <w:p>
      <w:pPr/>
      <w:r>
        <w:t xml:space="preserve">The architectural claim does not hold in the region the method's own theory permits. Removing the team tier entirely changes personalised macro F1 by 0.0002 on CICIDS2017 and by 0.0000 on the base paper's own EMNIST-10 setup, against a measured noise floor of 0.0116. Assigning teams to match true attack domains does not beat assigning them at random, and neither beats teams derived from client updates during training.</w:t>
      </w:r>
    </w:p>
    <w:p>
      <w:pPr/>
      <w:r>
        <w:t xml:space="preserve">The reason is arithmetic rather than empirical. A single parameter governs both the device-to-team penalty and the weight the team model places on its members, and those two roles want opposed values. At the setting that personalises well, membership influences the team model by 3.3 per cent, so the team model is effectively a copy of the global one. The method's own convergence condition caps that influence below fifty per cent in any case.</w:t>
      </w:r>
    </w:p>
    <w:p>
      <w:pPr/>
      <w:r>
        <w:t xml:space="preserve">Separating the two roles improves both models. Across three datasets and nine heterogeneity settings the correction raises personalised macro F1 by 0.027 to 0.326 and global macro F1 by 0.113 to 0.705, significant at every point. It also reduces across-seed variance in global accuracy by two to three orders of magnitude, which holds even in the one configuration where the mean regressed.</w:t>
      </w:r>
    </w:p>
    <w:p>
      <w:pPr/>
      <w:r>
        <w:t xml:space="preserve">One result runs against the project's expectations and is reported as such. The benefit grows as clients become more similar, not less. The term the weight controls is an average of team members, and an average of divergent members carries little signal, so the correction mostly frees the model to use information it already had.</w:t>
      </w:r>
    </w:p>
    <w:p>
      <w:pPr>
        <w:pStyle w:val="Heading3"/>
      </w:pPr>
      <w:r>
        <w:t xml:space="preserve">Against the objectives</w:t>
      </w:r>
    </w:p>
    <w:p>
      <w:pPr/>
      <w:r>
        <w:t xml:space="preserve">The reproduction was achieved and the pipeline built for three datasets with four partitioning schemes and a documented evaluation protocol. Heterogeneity was swept from near-homogeneous to strongly skewed with every result anchored against a floor and, where the protocol imposes one, a structural ceiling. The architectural premise was tested directly, the mechanism behind the negative result identified from the update rule, and a correction evaluated with paired seeds and significance testing.</w:t>
      </w:r>
    </w:p>
    <w:p>
      <w:pPr/>
      <w:r>
        <w:rPr>
          <w:highlight w:val="yellow"/>
        </w:rPr>
        <w:t xml:space="preserve">One objective is only partly met. The base implementation ships seven baseline algorithms and the intention was to run them on the intrusion detection data. Only the method under test carries the metric instrumentation this study requires, and extending it to the others was not completed. The results therefore position PerMFL against its own configurations and against a local training baseline, not against the wider federated literature.</w:t>
      </w:r>
    </w:p>
    <w:p>
      <w:pPr>
        <w:pStyle w:val="Heading3"/>
      </w:pPr>
      <w:r>
        <w:t xml:space="preserve">Limitations</w:t>
      </w:r>
    </w:p>
    <w:p>
      <w:pPr/>
      <w:r>
        <w:t xml:space="preserve">The absent baseline comparison is the principal limitation. A reader cannot tell from this work whether the corrected method is competitive with FedAvg, pFedMe or Ditto on the same data.</w:t>
      </w:r>
    </w:p>
    <w:p>
      <w:pPr/>
      <w:r>
        <w:rPr>
          <w:highlight w:val="yellow"/>
        </w:rPr>
        <w:t xml:space="preserve">No comparison is made against the two most closely related methods, SCMoE-PFL and CFMD-i, because neither publishes an implementation. This also means no claim is made about relative computational cost, despite the substantial practical difference in what the architectures hold: one model per tier against per-cluster experts, a private model and a gating network per client.</w:t>
      </w:r>
    </w:p>
    <w:p>
      <w:pPr/>
      <w:r>
        <w:rPr>
          <w:highlight w:val="yellow"/>
        </w:rPr>
        <w:t xml:space="preserve">Several exploratory results rest on single runs, and are labelled as such.</w:t>
      </w:r>
    </w:p>
    <w:p>
      <w:pPr/>
      <w:r>
        <w:t xml:space="preserve">The heterogeneity measure captures divergence between label distributions only. A partition with identical label distributions but different decision boundaries would register as homogeneous.</w:t>
      </w:r>
    </w:p>
    <w:p>
      <w:pPr/>
      <w:r>
        <w:t xml:space="preserve">Two of the three datasets are laboratory captures with scripted attacks, so agreement between them is weaker evidence than agreement between independent operational sources.</w:t>
      </w:r>
    </w:p>
    <w:p>
      <w:pPr>
        <w:pStyle w:val="Heading3"/>
      </w:pPr>
      <w:r>
        <w:t xml:space="preserve">Further work</w:t>
      </w:r>
    </w:p>
    <w:p>
      <w:pPr>
        <w:spacing w:before="180" w:after="60"/>
      </w:pPr>
      <w:r>
        <w:rPr>
          <w:b/>
          <w:i/>
        </w:rPr>
        <w:t xml:space="preserve">Completing the comparison</w:t>
      </w:r>
    </w:p>
    <w:p>
      <w:pPr/>
      <w:r>
        <w:t xml:space="preserve">Instrumenting the released baselines with the same metrics and running them on the same partitions would place the corrected method in context. This is the most valuable remaining work and it needs no new ideas, only the same instrumentation applied to four more server classes.</w:t>
      </w:r>
    </w:p>
    <w:p>
      <w:pPr>
        <w:spacing w:before="180" w:after="60"/>
      </w:pPr>
      <w:r>
        <w:rPr>
          <w:b/>
          <w:i/>
        </w:rPr>
        <w:t xml:space="preserve">Tuning the separated weight</w:t>
      </w:r>
    </w:p>
    <w:p>
      <w:pPr/>
      <w:r>
        <w:t xml:space="preserve">The team weight's optimum is dataset dependent: 1.5 on CICIDS2017 against 3.0 on NSL-KDD. A principled rule relating it to the heterogeneity measure, rather than a per-dataset sweep, would make the correction usable without tuning.</w:t>
      </w:r>
    </w:p>
    <w:p>
      <w:pPr>
        <w:spacing w:before="180" w:after="60"/>
      </w:pPr>
      <w:r>
        <w:rPr>
          <w:b/>
          <w:i/>
        </w:rPr>
        <w:t xml:space="preserve">Output-space clustering</w:t>
      </w:r>
    </w:p>
    <w:p>
      <w:pPr/>
      <w:r>
        <w:t xml:space="preserve">The derived team formation uses a parameter-space signal. CFMD-i additionally uses an output-space divergence and switches between the two adaptively. Under label skew two clients can hold near-identical weights and behave differently, which the parameter-space signal misses. Whether the better signal changes the conclusion is uncertain given that the term it feeds is weighted at 3.3 per cent, but the argument is currently an argument rather than a measurement.</w:t>
      </w:r>
    </w:p>
    <w:p>
      <w:pPr>
        <w:spacing w:before="180" w:after="60"/>
      </w:pPr>
      <w:r>
        <w:rPr>
          <w:b/>
          <w:i/>
        </w:rPr>
        <w:t xml:space="preserve">Nested structure</w:t>
      </w:r>
    </w:p>
    <w:p>
      <w:pPr/>
      <w:r>
        <w:t xml:space="preserve">Every partition used here supplies structure at one level, so two of the three tiers are redundant by construction. A nested partition, in which teams differ by attack family and clients within a team differ by variant, would give each tier something distinct to represent. It is the fairest available test of the three-tier premise and no published work has run it.</w:t>
      </w:r>
    </w:p>
    <w:p>
      <w:pPr>
        <w:spacing w:before="180" w:after="60"/>
      </w:pPr>
      <w:r>
        <w:rPr>
          <w:b/>
          <w:i/>
        </w:rPr>
        <w:t xml:space="preserve">Quantity skew</w:t>
      </w:r>
    </w:p>
    <w:p>
      <w:pPr/>
      <w:r>
        <w:t xml:space="preserve">The per-client cap flattens client sizes into a narrow band. Real deployments are unequal, and the base paper's own synthetic generator spans two orders of magnitude. Removing the cap restores an axis of realism that this study suppressed.</w:t>
      </w:r>
    </w:p>
    <w:p>
      <w:pPr>
        <w:spacing w:before="180" w:after="60"/>
      </w:pPr>
      <w:r>
        <w:rPr>
          <w:b/>
          <w:i/>
        </w:rPr>
        <w:t xml:space="preserve">Memory behaviour of the loader interface</w:t>
      </w:r>
    </w:p>
    <w:p>
      <w:pPr/>
      <w:r>
        <w:rPr>
          <w:highlight w:val="yellow"/>
        </w:rPr>
        <w:t xml:space="preserve">The loader interface materialises every client's features as Python lists, roughly a gigabyte per process on CICIDS2017 before any training begins. This constrains how many configurations can run concurrently and caused a machine-level failure during this project. A tensor-backed interface would remove the constraint, at the cost of changing a contract every loader in the base implementation shares.</w:t>
      </w:r>
    </w:p>
    <w:p>
      <w:pPr>
        <w:pStyle w:val="Heading3"/>
      </w:pPr>
      <w:r>
        <w:t xml:space="preserve">Closing</w:t>
      </w:r>
    </w:p>
    <w:p>
      <w:pPr/>
      <w:r>
        <w:t xml:space="preserve">The most useful thing this project produces is not the correction. It is the observation that a published method's central architectural claim can be tested directly, cheaply, and negatively, and that the reason can be read off the update rule once someone looks. The team tier contributes 0.0002 macro F1 in the configuration its authors recommend, and the arithmetic explaining why fits in a paragraph.</w:t>
      </w:r>
    </w:p>
    <w:p>
      <w:pPr/>
      <w:r>
        <w:t xml:space="preserve">That the same analysis then yields a correction improving both models across three datasets is a secondary result, though the more useful one to anyone intending to deploy the method.</w:t>
      </w:r>
    </w:p>
    <w:p>
      <w:r>
        <w:br w:type="page"/>
      </w:r>
    </w:p>
    <w:p>
      <w:pPr>
        <w:pStyle w:val="Heading2"/>
      </w:pPr>
      <w:r>
        <w:t xml:space="preserve">References</w:t>
      </w:r>
    </w:p>
    <w:p>
      <w:pPr/>
      <w:r>
        <w:t xml:space="preserve">Bhuyan, S. et al. (2024) 'Personalized Multi-tier Federated Learning', *arXiv preprint arXiv:2407.14251*.</w:t>
      </w:r>
    </w:p>
    <w:p>
      <w:pPr/>
      <w:r>
        <w:t xml:space="preserve">Dinh, C. T., Tran, N. H. and Nguyen, T. D. (2020) 'Personalized Federated Learning with Moreau Envelopes', *NeurIPS*.</w:t>
      </w:r>
    </w:p>
    <w:p>
      <w:pPr/>
      <w:r>
        <w:t xml:space="preserve">Duan, M. et al. (2021) 'Flexible Clustered Federated Learning for Client-Level Data Distribution Shift', *IEEE Transactions on Parallel and Distributed Systems*.</w:t>
      </w:r>
    </w:p>
    <w:p>
      <w:pPr/>
      <w:r>
        <w:t xml:space="preserve">Fallah, A., Mokhtari, A. and Ozdaglar, A. (2020) 'Personalized Federated Learning with Theoretical Guarantees', *NeurIPS*.</w:t>
      </w:r>
    </w:p>
    <w:p>
      <w:pPr/>
      <w:r>
        <w:t xml:space="preserve">Idrissi, M. J., Alami, H., El Mahdaouy, A., El Mekki, A., Oualil, S., Yartaoui, Z. and Berrada, I. (2023) 'Fed-ANIDS}: Federated learning for anomaly-based network intrusion detection systems', *Expert Systems With Applications*.</w:t>
      </w:r>
    </w:p>
    <w:p>
      <w:pPr/>
      <w:r>
        <w:t xml:space="preserve">Irtiza, S., Khan, L., Hamlen, K. W., Chan, K. S., De Lucia, M., Kantarcioglu, M., Mehrotra, S., Swami, A. and Thuraisingham, B. (2025) 'ClusterFed}: Self-supervised Federated Network Intrusion Detection using Clustering', *MILCOM*.</w:t>
      </w:r>
    </w:p>
    <w:p>
      <w:pPr/>
      <w:r>
        <w:t xml:space="preserve">Jothimurugesan, E., Hsieh, K., Wang, J., Joshi, G. and Gibbons, P. B. (2023) 'Federated Learning under Distributed Concept Drift', *AISTATS*.</w:t>
      </w:r>
    </w:p>
    <w:p>
      <w:pPr/>
      <w:r>
        <w:t xml:space="preserve">Li, T., Hu, S., Beirami, A. and Smith, V. (2021) 'Ditto: Fair and Robust Federated Learning Through Personalization', *ICML*.</w:t>
      </w:r>
    </w:p>
    <w:p>
      <w:pPr/>
      <w:r>
        <w:t xml:space="preserve">Li, G., Jia, X., Liu, W., Zhang, E. and Wang, Z. (2026) 'SCMoE-PFL}: A soft-clustering mixture-of-experts framework for personalized federated learning', *Information Fusion*.</w:t>
      </w:r>
    </w:p>
    <w:p>
      <w:pPr/>
      <w:r>
        <w:t xml:space="preserve">Lu, W., Ye, A., Xiao, P., Liu, Y., Yang, L., Zhu, D. and Liu, Z. (2025) 'Stones From Other Hills: Intrusion Detection in Statistical Heterogeneous {IoT} by Self-Labeled Personalized Federated Learning', *IEEE Internet of Things Journal*.</w:t>
      </w:r>
    </w:p>
    <w:p>
      <w:pPr/>
      <w:r>
        <w:t xml:space="preserve">McMahan, B., Moore, E., Ramage, D., Hampson, S. and Arcas, B. A. y. (2017) 'Communication-Efficient Learning of Deep Networks from Decentralized Data', *AISTATS*.</w:t>
      </w:r>
    </w:p>
    <w:p>
      <w:pPr/>
      <w:r>
        <w:t xml:space="preserve">Sattler, F., M{u}ller, K. and Samek, W. (2020) 'Clustered Federated Learning: Model-Agnostic Distributed Multitask Optimization Under Privacy Constraints', *IEEE Transactions on Neural Networks and Learning Systems*.</w:t>
      </w:r>
    </w:p>
    <w:p>
      <w:pPr/>
      <w:r>
        <w:t xml:space="preserve">Sharafaldin, I., Lashkari, A. H. and Ghorbani, A. A. (2018) 'Toward Generating a New Intrusion Detection Dataset and Intrusion Traffic Characterization', *ICISSP*.</w:t>
      </w:r>
    </w:p>
    <w:p>
      <w:pPr/>
      <w:r>
        <w:t xml:space="preserve">Zhang, C., Su, Y., Xu, Z., Guo, W. and Liu, Z. (2026) 'CFMD-i}: Communication-Efficient Clustered Federated Multi-Domain Learning for Robust Network Intrusion Anomaly Detection', *IEEE Internet of Things Journal*.</w:t>
      </w:r>
    </w:p>
    <w:sectPr w:rsidR="008C4E90" w:rsidSect="00403E85">
      <w:footerReference w:type="even" r:id="rId17"/>
      <w:footerReference w:type="default" r:id="rId18"/>
      <w:footerReference w:type="first" r:id="rId19"/>
      <w:pgSz w:w="11906" w:h="16838"/>
      <w:pgMar w:top="1134" w:right="1170" w:bottom="1843" w:left="2290" w:header="720" w:footer="1243"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7861" w:rsidRDefault="007C7861">
      <w:pPr>
        <w:spacing w:after="0" w:line="240" w:lineRule="auto"/>
      </w:pPr>
      <w:r>
        <w:separator/>
      </w:r>
    </w:p>
  </w:endnote>
  <w:endnote w:type="continuationSeparator" w:id="0">
    <w:p w:rsidR="007C7861" w:rsidRDefault="007C7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firstLine="0"/>
      <w:jc w:val="center"/>
    </w:pPr>
    <w:r>
      <w:fldChar w:fldCharType="begin"/>
    </w:r>
    <w:r>
      <w:instrText xml:space="preserve"> PAGE   \* MERGEFORMAT </w:instrText>
    </w:r>
    <w:r>
      <w:fldChar w:fldCharType="separate"/>
    </w:r>
    <w:proofErr w:type="gramStart"/>
    <w:r>
      <w:t>ii</w:t>
    </w:r>
    <w:proofErr w:type="gram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firstLine="0"/>
      <w:jc w:val="center"/>
    </w:pPr>
    <w:r>
      <w:fldChar w:fldCharType="begin"/>
    </w:r>
    <w:r>
      <w:instrText xml:space="preserve"> PAGE   \* MERGEFORMAT </w:instrText>
    </w:r>
    <w:r>
      <w:fldChar w:fldCharType="separate"/>
    </w:r>
    <w:r w:rsidR="00650207">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8C4E9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8C4E90">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8C4E90">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8C4E90">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right="225" w:firstLine="0"/>
      <w:jc w:val="center"/>
    </w:pPr>
    <w:r>
      <w:fldChar w:fldCharType="begin"/>
    </w:r>
    <w:r>
      <w:instrText xml:space="preserve"> PAGE   \* MERGEFORMAT </w:instrText>
    </w:r>
    <w:r>
      <w:fldChar w:fldCharType="separate"/>
    </w:r>
    <w:r>
      <w:t>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right="225" w:firstLine="0"/>
      <w:jc w:val="center"/>
    </w:pPr>
    <w:r>
      <w:fldChar w:fldCharType="begin"/>
    </w:r>
    <w:r>
      <w:instrText xml:space="preserve"> PAGE   \* MERGEFORMAT </w:instrText>
    </w:r>
    <w:r>
      <w:fldChar w:fldCharType="separate"/>
    </w:r>
    <w:r w:rsidR="00650207">
      <w:rPr>
        <w:noProof/>
      </w:rP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right="225" w:firstLine="0"/>
      <w:jc w:val="center"/>
    </w:pPr>
    <w:r>
      <w:fldChar w:fldCharType="begin"/>
    </w:r>
    <w:r>
      <w:instrText xml:space="preserve"> PAGE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7861" w:rsidRDefault="007C7861">
      <w:pPr>
        <w:spacing w:after="0" w:line="240" w:lineRule="auto"/>
      </w:pPr>
      <w:r>
        <w:separator/>
      </w:r>
    </w:p>
  </w:footnote>
  <w:footnote w:type="continuationSeparator" w:id="0">
    <w:p w:rsidR="007C7861" w:rsidRDefault="007C7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D93633"/>
    <w:multiLevelType w:val="hybridMultilevel"/>
    <w:tmpl w:val="DC52EBC6"/>
    <w:lvl w:ilvl="0" w:tplc="C81C9712">
      <w:start w:val="1"/>
      <w:numFmt w:val="upperLetter"/>
      <w:lvlText w:val="%1"/>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56BD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2E42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9EB88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4872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18CD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2479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D6CA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F08C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8116F3D"/>
    <w:multiLevelType w:val="multilevel"/>
    <w:tmpl w:val="75F47D20"/>
    <w:lvl w:ilvl="0">
      <w:start w:val="1"/>
      <w:numFmt w:val="decimal"/>
      <w:lvlText w:val="%1"/>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E90"/>
    <w:rsid w:val="00403E85"/>
    <w:rsid w:val="00650207"/>
    <w:rsid w:val="007C7861"/>
    <w:rsid w:val="008C4E90"/>
    <w:rsid w:val="00C506F6"/>
    <w:rsid w:val="00D423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A50B0"/>
  <w15:docId w15:val="{DFEB1D26-6665-4709-9A8B-3D70C819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01"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490" w:line="265" w:lineRule="auto"/>
      <w:ind w:left="10" w:hanging="10"/>
      <w:outlineLvl w:val="0"/>
    </w:pPr>
    <w:rPr>
      <w:rFonts w:ascii="Calibri" w:eastAsia="Calibri" w:hAnsi="Calibri" w:cs="Calibri"/>
      <w:color w:val="000000"/>
      <w:sz w:val="50"/>
    </w:rPr>
  </w:style>
  <w:style w:type="paragraph" w:styleId="Heading2">
    <w:name w:val="heading 2"/>
    <w:next w:val="Normal"/>
    <w:link w:val="Heading2Char"/>
    <w:uiPriority w:val="9"/>
    <w:unhideWhenUsed/>
    <w:qFormat/>
    <w:pPr>
      <w:keepNext/>
      <w:keepLines/>
      <w:spacing w:after="490" w:line="265" w:lineRule="auto"/>
      <w:ind w:left="10" w:hanging="10"/>
      <w:outlineLvl w:val="1"/>
    </w:pPr>
    <w:rPr>
      <w:rFonts w:ascii="Calibri" w:eastAsia="Calibri" w:hAnsi="Calibri" w:cs="Calibri"/>
      <w:color w:val="000000"/>
      <w:sz w:val="50"/>
    </w:rPr>
  </w:style>
  <w:style w:type="paragraph" w:styleId="Heading3">
    <w:name w:val="heading 3"/>
    <w:next w:val="Normal"/>
    <w:link w:val="Heading3Char"/>
    <w:uiPriority w:val="9"/>
    <w:unhideWhenUsed/>
    <w:qFormat/>
    <w:pPr>
      <w:keepNext/>
      <w:keepLines/>
      <w:spacing w:after="164"/>
      <w:ind w:left="10" w:hanging="10"/>
      <w:outlineLvl w:val="2"/>
    </w:pPr>
    <w:rPr>
      <w:rFonts w:ascii="Calibri" w:eastAsia="Calibri" w:hAnsi="Calibri" w:cs="Calibri"/>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34"/>
    </w:rPr>
  </w:style>
  <w:style w:type="character" w:customStyle="1" w:styleId="Heading2Char">
    <w:name w:val="Heading 2 Char"/>
    <w:link w:val="Heading2"/>
    <w:rPr>
      <w:rFonts w:ascii="Calibri" w:eastAsia="Calibri" w:hAnsi="Calibri" w:cs="Calibri"/>
      <w:color w:val="000000"/>
      <w:sz w:val="50"/>
    </w:rPr>
  </w:style>
  <w:style w:type="character" w:customStyle="1" w:styleId="Heading1Char">
    <w:name w:val="Heading 1 Char"/>
    <w:link w:val="Heading1"/>
    <w:rPr>
      <w:rFonts w:ascii="Calibri" w:eastAsia="Calibri" w:hAnsi="Calibri" w:cs="Calibri"/>
      <w:color w:val="000000"/>
      <w:sz w:val="50"/>
    </w:rPr>
  </w:style>
  <w:style w:type="paragraph" w:styleId="TOC1">
    <w:name w:val="toc 1"/>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03E85"/>
    <w:pPr>
      <w:ind w:left="720"/>
      <w:contextualSpacing/>
    </w:pPr>
  </w:style>
  <w:style w:type="paragraph" w:styleId="TOCHeading">
    <w:name w:val="TOC Heading"/>
    <w:basedOn w:val="Heading1"/>
    <w:next w:val="Normal"/>
    <w:uiPriority w:val="39"/>
    <w:unhideWhenUsed/>
    <w:qFormat/>
    <w:rsid w:val="00650207"/>
    <w:pPr>
      <w:spacing w:before="240" w:after="0" w:line="259" w:lineRule="auto"/>
      <w:ind w:left="0" w:firstLine="0"/>
      <w:outlineLvl w:val="9"/>
    </w:pPr>
    <w:rPr>
      <w:rFonts w:asciiTheme="majorHAnsi" w:eastAsiaTheme="majorEastAsia" w:hAnsiTheme="majorHAnsi" w:cstheme="majorBidi"/>
      <w:color w:val="2E74B5" w:themeColor="accent1" w:themeShade="BF"/>
      <w:sz w:val="32"/>
      <w:szCs w:val="32"/>
      <w:lang w:val="en-US" w:eastAsia="en-US"/>
    </w:rPr>
  </w:style>
  <w:style w:type="paragraph" w:styleId="TOC2">
    <w:name w:val="toc 2"/>
    <w:basedOn w:val="Normal"/>
    <w:next w:val="Normal"/>
    <w:autoRedefine/>
    <w:uiPriority w:val="39"/>
    <w:unhideWhenUsed/>
    <w:rsid w:val="00650207"/>
    <w:pPr>
      <w:tabs>
        <w:tab w:val="right" w:leader="dot" w:pos="8211"/>
      </w:tabs>
      <w:spacing w:after="100"/>
      <w:ind w:left="25"/>
    </w:pPr>
  </w:style>
  <w:style w:type="paragraph" w:styleId="TOC3">
    <w:name w:val="toc 3"/>
    <w:basedOn w:val="Normal"/>
    <w:next w:val="Normal"/>
    <w:autoRedefine/>
    <w:uiPriority w:val="39"/>
    <w:unhideWhenUsed/>
    <w:rsid w:val="00650207"/>
    <w:pPr>
      <w:spacing w:after="100"/>
      <w:ind w:left="480"/>
    </w:pPr>
  </w:style>
  <w:style w:type="character" w:styleId="Hyperlink">
    <w:name w:val="Hyperlink"/>
    <w:basedOn w:val="DefaultParagraphFont"/>
    <w:uiPriority w:val="99"/>
    <w:unhideWhenUsed/>
    <w:rsid w:val="006502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hyperlink" Target="https://doi.org/10.1109/CVPR.2013.35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doi.org/10.1109/CVPR.2013.352" TargetMode="Externa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theme" Target="theme/theme1.xml"/><Relationship Id="rIdFig1" Type="http://schemas.openxmlformats.org/officeDocument/2006/relationships/image" Target="media/rIdFig1.png"/><Relationship Id="rIdFig2" Type="http://schemas.openxmlformats.org/officeDocument/2006/relationships/image" Target="media/rIdFig2.png"/><Relationship Id="rIdFig3" Type="http://schemas.openxmlformats.org/officeDocument/2006/relationships/image" Target="media/rIdFig3.png"/><Relationship Id="rIdFig4" Type="http://schemas.openxmlformats.org/officeDocument/2006/relationships/image" Target="media/rIdFig4.png"/><Relationship Id="rIdFig5" Type="http://schemas.openxmlformats.org/officeDocument/2006/relationships/image" Target="media/rIdFig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C60"/>
    <w:rsid w:val="009E24FF"/>
    <w:rsid w:val="00A13C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5000DB4BA041DE8D6B81D892543882">
    <w:name w:val="F85000DB4BA041DE8D6B81D892543882"/>
    <w:rsid w:val="00A13C60"/>
  </w:style>
  <w:style w:type="paragraph" w:customStyle="1" w:styleId="5F3A11E6D0924576A4018D00D12DFA53">
    <w:name w:val="5F3A11E6D0924576A4018D00D12DFA53"/>
    <w:rsid w:val="00A13C60"/>
  </w:style>
  <w:style w:type="paragraph" w:customStyle="1" w:styleId="D3FE05BADA2A4563A4115295D0A2B1E6">
    <w:name w:val="D3FE05BADA2A4563A4115295D0A2B1E6"/>
    <w:rsid w:val="00A13C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MMU</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Costen</dc:creator>
  <cp:keywords/>
  <cp:lastModifiedBy>Nicholas Costen</cp:lastModifiedBy>
  <cp:revision>4</cp:revision>
  <dcterms:created xsi:type="dcterms:W3CDTF">2020-05-20T19:12:00Z</dcterms:created>
  <dcterms:modified xsi:type="dcterms:W3CDTF">2020-05-20T19:30:00Z</dcterms:modified>
</cp:coreProperties>
</file>