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(Permfl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2020) takes the first route using Moreau envelopes. Each client solves a regularised local problem whose solution is pulled toward the global model by a penalty term, so the client model can specialise without drifting arbitrarily far. Ditto (Li 2021) and Per-FedAvg (Fallah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2021) adds client migration between clusters to handle distribution shift, keeping the number of clusters fixed. FedDrift (Jothimurugesan 2023) handles concept drift with both splits and merges. A recent survey (Cfl Survey 2025) organises these approaches and notes that basic clustered methods, limited to splitting, perform poorly under complex drift.</w:t>
      </w:r>
    </w:p>
    <w:p>
      <w:pPr/>
      <w:r>
        <w:t xml:space="preserve">HCFL+ (Hcfl 2025) generalises clustered federated learning into a four-tier framework with dynamic re-clustering, unifying soft and hard clustering under a common objective.</w:t>
      </w:r>
    </w:p>
    <w:p>
      <w:pPr/>
      <w:r>
        <w:t xml:space="preserve">SCMoE-PFL (Scmoe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(Permfl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(Cfmdi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(Clusterfed 2025) uses self-supervised clustering with balanced assignment via Sinkhorn-Knopp, which prevents cluster collapse. It partitions clients by Dirichlet sampling at $\alpha = 0.1$.</w:t>
      </w:r>
    </w:p>
    <w:p>
      <w:pPr/>
      <w:r>
        <w:t xml:space="preserve">Stones From Other Hills (Soh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(Fedanids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spacing w:before="180" w:after="60"/>
      </w:pPr>
      <w:r>
        <w:rPr>
          <w:b/>
          <w:i/>
        </w:rP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