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lineRule="auto"/>
        <w:rPr>
          <w:color w:val="292f32"/>
          <w:sz w:val="21"/>
          <w:szCs w:val="21"/>
        </w:rPr>
      </w:pPr>
      <w:r w:rsidDel="00000000" w:rsidR="00000000" w:rsidRPr="00000000">
        <w:rPr>
          <w:color w:val="292f32"/>
          <w:sz w:val="21"/>
          <w:szCs w:val="21"/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Identify the level of income qualification needed for the families in Latin America.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b w:val="1"/>
          <w:color w:val="4d575d"/>
          <w:sz w:val="21"/>
          <w:szCs w:val="21"/>
        </w:rPr>
      </w:pPr>
      <w:r w:rsidDel="00000000" w:rsidR="00000000" w:rsidRPr="00000000">
        <w:rPr>
          <w:b w:val="1"/>
          <w:color w:val="4d575d"/>
          <w:sz w:val="21"/>
          <w:szCs w:val="21"/>
          <w:rtl w:val="0"/>
        </w:rPr>
        <w:t xml:space="preserve">Problem Statement Scenario: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Many social programs have a hard time ensuring that the right people are given enough aid. It’s tricky when a program focuses on the poorest segment of the population. This segment of the population can’t provide the necessary income and expense records to prove that they qualify.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In Latin America, a popular method called Proxy Means Test (PMT) uses an algorithm to verify income qualification. With PMT, agencies use a model that considers a family’s observable household attributes like the material of their walls and ceiling or the assets found in their homes to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classify them and predict their level of need.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While this is an improvement, accuracy remains a problem as the region’s population grows and poverty declines.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The Inter-American Development Bank (IDB)believes that new methods beyond traditional econometrics, based on a dataset of Costa Rican household characteristics, might help improve PMT’s performance.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4d575d"/>
          <w:sz w:val="21"/>
          <w:szCs w:val="21"/>
          <w:u w:val="single"/>
        </w:rPr>
      </w:pPr>
      <w:r w:rsidDel="00000000" w:rsidR="00000000" w:rsidRPr="00000000">
        <w:rPr>
          <w:color w:val="4d575d"/>
          <w:sz w:val="21"/>
          <w:szCs w:val="21"/>
          <w:u w:val="single"/>
          <w:rtl w:val="0"/>
        </w:rPr>
        <w:t xml:space="preserve">Following actions should be performed: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Identify the output variable.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Understand the type of data.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Check if there are any biases in your dataset.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Check whether all members of the house have the same poverty level.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Check if there is a house without a family head.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Set the poverty level of the members and the head of the house within a family.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Count how many null values are existing in columns.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Remove null value rows of the target variable.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Predict the accuracy using a random forest classifier.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color w:val="4d575d"/>
          <w:sz w:val="21"/>
          <w:szCs w:val="21"/>
          <w:rtl w:val="0"/>
        </w:rPr>
        <w:t xml:space="preserve">Check the accuracy using random forest with cross validation.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4d575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center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INCOME QUALIFICATIONS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