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2B3D"/>
          <w:sz w:val="40"/>
        </w:rPr>
        <w:t>CEO Executive Summary — Solution Engineering</w:t>
      </w:r>
    </w:p>
    <w:p>
      <w:r>
        <w:rPr>
          <w:color w:val="6B7280"/>
          <w:sz w:val="22"/>
        </w:rPr>
        <w:t>May 2026 · for the CEO  ·  prepared by kaushik</w:t>
      </w:r>
    </w:p>
    <w:p>
      <w:r>
        <w:rPr>
          <w:b/>
          <w:i/>
          <w:color w:val="296FC4"/>
          <w:sz w:val="26"/>
        </w:rPr>
        <w:t>Arjun Pillai led the team at 3.57/5; 35% of demos slipped into feature-selling and AEs averaged 3 interruptions per call.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color w:val="6B7280"/>
                <w:sz w:val="18"/>
              </w:rPr>
              <w:t>Avg SE Score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6B7280"/>
                <w:sz w:val="18"/>
              </w:rPr>
              <w:t>Best SE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6B7280"/>
                <w:sz w:val="18"/>
              </w:rPr>
              <w:t>Worst SE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6B7280"/>
                <w:sz w:val="18"/>
              </w:rPr>
              <w:t>Feature-Selling 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6B7280"/>
                <w:sz w:val="18"/>
              </w:rPr>
              <w:t>AE Interrupts / Call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  <w:color w:val="1A2B3D"/>
                <w:sz w:val="24"/>
              </w:rPr>
              <w:t>3.57/5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4"/>
              </w:rPr>
              <w:t>Arjun Pillai (3.57)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4"/>
              </w:rPr>
              <w:t>Karthik Raman (3.57)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4"/>
              </w:rPr>
              <w:t>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4"/>
              </w:rPr>
              <w:t>3</w:t>
            </w:r>
          </w:p>
        </w:tc>
      </w:tr>
    </w:tbl>
    <w:p/>
    <w:p>
      <w:pPr>
        <w:pStyle w:val="Heading2"/>
      </w:pPr>
      <w:r>
        <w:rPr>
          <w:color w:val="1A2B3D"/>
        </w:rPr>
        <w:t>CX maturity mix of prospects this month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Low Maturity CX</w:t>
              <w:br/>
              <w:t>67%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Potential High Maturity CX</w:t>
              <w:br/>
              <w:t>33%</w:t>
            </w:r>
          </w:p>
        </w:tc>
      </w:tr>
    </w:tbl>
    <w:p>
      <w:pPr>
        <w:pStyle w:val="Heading2"/>
      </w:pPr>
      <w:r>
        <w:rPr>
          <w:color w:val="1A2B3D"/>
        </w:rPr>
        <w:t>Top 5 product gaps (engineering should care)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Gap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Evidence calls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$ at risk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1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Real-time Slack alerts on detractor responses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call_2026_05_14_northlane, call_2026_05_08_eventcorp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C93535"/>
                <w:sz w:val="20"/>
              </w:rPr>
              <w:t>~$240K ARR across 3 deals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Bi-directional Salesforce sync for renewal-stage variables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call_2026_05_14_northlane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C93535"/>
                <w:sz w:val="20"/>
              </w:rPr>
              <w:t>~$180K ARR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3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Custom dashboard widgets by ARR tier / segment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C93535"/>
                <w:sz w:val="20"/>
              </w:rPr>
              <w:t>~$95K ARR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4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Sample CRM-variable data inside trial workspaces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C93535"/>
                <w:sz w:val="20"/>
              </w:rPr>
              <w:t>Trial → demo conversion drag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5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Public industry reference customers (fintech, healthcare)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C93535"/>
                <w:sz w:val="20"/>
              </w:rPr>
              <w:t>~$120K ARR blocked on references</w:t>
            </w:r>
          </w:p>
        </w:tc>
      </w:tr>
    </w:tbl>
    <w:p>
      <w:pPr>
        <w:pStyle w:val="Heading2"/>
      </w:pPr>
      <w:r>
        <w:rPr>
          <w:color w:val="1A2B3D"/>
        </w:rPr>
        <w:t>Top 5 process gaps (GTM should own)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Gap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Evidence calls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1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SEs not customizing demo env with prospect logo/data</w:t>
            </w:r>
          </w:p>
        </w:tc>
        <w:tc>
          <w:tcPr>
            <w:tcW w:type="dxa" w:w="2484"/>
          </w:tcPr>
          <w:p>
            <w:r/>
            <w:r>
              <w:rPr>
                <w:b/>
                <w:color w:val="1A2B3D"/>
                <w:sz w:val="20"/>
              </w:rPr>
              <w:t>Sales Enablement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—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AE interruption pattern derailing value delivery in 40%+ of calls</w:t>
            </w:r>
          </w:p>
        </w:tc>
        <w:tc>
          <w:tcPr>
            <w:tcW w:type="dxa" w:w="2484"/>
          </w:tcPr>
          <w:p>
            <w:r/>
            <w:r>
              <w:rPr>
                <w:b/>
                <w:color w:val="1A2B3D"/>
                <w:sz w:val="20"/>
              </w:rPr>
              <w:t>Sales Leadership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—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3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No structured pre-call brief between AE and SE</w:t>
            </w:r>
          </w:p>
        </w:tc>
        <w:tc>
          <w:tcPr>
            <w:tcW w:type="dxa" w:w="2484"/>
          </w:tcPr>
          <w:p>
            <w:r/>
            <w:r>
              <w:rPr>
                <w:b/>
                <w:color w:val="1A2B3D"/>
                <w:sz w:val="20"/>
              </w:rPr>
              <w:t>RevOps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—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4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Pricing objection handling inconsistent across SE team</w:t>
            </w:r>
          </w:p>
        </w:tc>
        <w:tc>
          <w:tcPr>
            <w:tcW w:type="dxa" w:w="2484"/>
          </w:tcPr>
          <w:p>
            <w:r/>
            <w:r>
              <w:rPr>
                <w:b/>
                <w:color w:val="1A2B3D"/>
                <w:sz w:val="20"/>
              </w:rPr>
              <w:t>Sales Enablement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—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color w:val="296FC4"/>
                <w:sz w:val="20"/>
              </w:rPr>
              <w:t>5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CX-maturity classification not used to qualify deals</w:t>
            </w:r>
          </w:p>
        </w:tc>
        <w:tc>
          <w:tcPr>
            <w:tcW w:type="dxa" w:w="2484"/>
          </w:tcPr>
          <w:p>
            <w:r/>
            <w:r>
              <w:rPr>
                <w:b/>
                <w:color w:val="1A2B3D"/>
                <w:sz w:val="20"/>
              </w:rPr>
              <w:t>SE Leadership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color w:val="6B7280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1A2B3D"/>
        </w:rPr>
        <w:t>Account Executive quality risks</w:t>
      </w:r>
    </w:p>
    <w:p>
      <w:r>
        <w:rPr>
          <w:b/>
          <w:i w:val="0"/>
          <w:color w:val="C93535"/>
          <w:sz w:val="24"/>
        </w:rPr>
        <w:t>Priya Menon</w:t>
      </w:r>
    </w:p>
    <w:p>
      <w:r>
        <w:rPr>
          <w:b w:val="0"/>
          <w:i w:val="0"/>
          <w:sz w:val="22"/>
        </w:rPr>
        <w:t>Pattern:  Interrupts SE on average 3.2x per call, primarily during value-delivery moments</w:t>
      </w:r>
    </w:p>
    <w:p>
      <w:r>
        <w:rPr>
          <w:b w:val="0"/>
          <w:i/>
          <w:color w:val="296FC4"/>
          <w:sz w:val="22"/>
        </w:rPr>
        <w:t>Recommendation:  1:1 coaching + listen-back of 2 recorded calls; pair with strongest SE for next 3 demos</w:t>
      </w:r>
    </w:p>
    <w:p/>
    <w:p>
      <w:pPr>
        <w:pStyle w:val="Heading2"/>
      </w:pPr>
      <w:r>
        <w:rPr>
          <w:color w:val="1A2B3D"/>
        </w:rPr>
        <w:t>Competitive intelligence</w:t>
      </w:r>
    </w:p>
    <w:p>
      <w:r>
        <w:rPr>
          <w:b w:val="0"/>
          <w:i/>
          <w:sz w:val="22"/>
        </w:rPr>
        <w:t>Price-led losses to Qualtrics in mid-market; capability losses to Medallia at enterprise tier where journey orchestration is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Competitor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Mentions this month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Approx. win-rate proxy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Qualtrics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42%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Medallia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42%</w:t>
            </w:r>
          </w:p>
        </w:tc>
      </w:tr>
    </w:tbl>
    <w:p>
      <w:pPr>
        <w:pStyle w:val="Heading2"/>
      </w:pPr>
      <w:r>
        <w:rPr>
          <w:color w:val="296FC4"/>
        </w:rPr>
        <w:t>Top 5 actions for the CEO</w:t>
      </w:r>
    </w:p>
    <w:p>
      <w:r>
        <w:rPr>
          <w:b/>
          <w:color w:val="296FC4"/>
          <w:sz w:val="24"/>
        </w:rPr>
        <w:t xml:space="preserve">1.  </w:t>
      </w:r>
      <w:r>
        <w:rPr>
          <w:sz w:val="22"/>
        </w:rPr>
        <w:t>Greenlight real-time Slack-alerts feature for Q3 — blocking ~$240K ARR</w:t>
      </w:r>
    </w:p>
    <w:p>
      <w:r>
        <w:rPr>
          <w:b/>
          <w:color w:val="296FC4"/>
          <w:sz w:val="24"/>
        </w:rPr>
        <w:t xml:space="preserve">2.  </w:t>
      </w:r>
      <w:r>
        <w:rPr>
          <w:sz w:val="22"/>
        </w:rPr>
        <w:t>Direct conversation with Sales Leader on AE-interruption pattern; recurring derailment</w:t>
      </w:r>
    </w:p>
    <w:p>
      <w:r>
        <w:rPr>
          <w:b/>
          <w:color w:val="296FC4"/>
          <w:sz w:val="24"/>
        </w:rPr>
        <w:t xml:space="preserve">3.  </w:t>
      </w:r>
      <w:r>
        <w:rPr>
          <w:sz w:val="22"/>
        </w:rPr>
        <w:t>Approve fintech &amp; healthcare reference-customer recruitment program</w:t>
      </w:r>
    </w:p>
    <w:p>
      <w:r>
        <w:rPr>
          <w:b/>
          <w:color w:val="296FC4"/>
          <w:sz w:val="24"/>
        </w:rPr>
        <w:t xml:space="preserve">4.  </w:t>
      </w:r>
      <w:r>
        <w:rPr>
          <w:sz w:val="22"/>
        </w:rPr>
        <w:t>Allocate ProdMkt cycle to publishable SOC2 Type II + segment-by-ARR dashboard widget</w:t>
      </w:r>
    </w:p>
    <w:p>
      <w:r>
        <w:rPr>
          <w:b/>
          <w:color w:val="296FC4"/>
          <w:sz w:val="24"/>
        </w:rPr>
        <w:t xml:space="preserve">5.  </w:t>
      </w:r>
      <w:r>
        <w:rPr>
          <w:sz w:val="22"/>
        </w:rPr>
        <w:t>Fund Sales Enablement to build prospect-customization templates for SE demos</w:t>
      </w:r>
    </w:p>
    <w:p/>
    <w:p>
      <w:r>
        <w:rPr>
          <w:i/>
          <w:color w:val="6B7280"/>
          <w:sz w:val="18"/>
        </w:rPr>
        <w:t>Generated by SurveySparrow SE Demo Assessment Agent · Based on 3.57-class demos analyzed via Recall.ai + Claude.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