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B3D"/>
          <w:sz w:val="40"/>
        </w:rPr>
        <w:t>Solution Engineer Monthly Coaching Report</w:t>
      </w:r>
    </w:p>
    <w:p>
      <w:r>
        <w:rPr>
          <w:color w:val="6B7280"/>
          <w:sz w:val="24"/>
        </w:rPr>
        <w:t>Ishrath Ahamed  ·  May 2026 (single call analysis)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6B7280"/>
                <w:sz w:val="18"/>
              </w:rPr>
              <w:t>FINAL SCORE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6B7280"/>
                <w:sz w:val="18"/>
              </w:rPr>
              <w:t>CALLS ANALYZED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6B7280"/>
                <w:sz w:val="18"/>
              </w:rPr>
              <w:t>INDUSTRY PERCENTILE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296FC4"/>
                <w:sz w:val="44"/>
              </w:rPr>
              <w:t>2.29 / 5.0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1A2B3D"/>
                <w:sz w:val="44"/>
              </w:rPr>
              <w:t>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C93535"/>
                <w:sz w:val="44"/>
              </w:rPr>
              <w:t>P10</w:t>
            </w:r>
          </w:p>
        </w:tc>
      </w:tr>
    </w:tbl>
    <w:p/>
    <w:p>
      <w:pPr>
        <w:pStyle w:val="Heading2"/>
      </w:pPr>
      <w:r>
        <w:rPr>
          <w:color w:val="1A2B3D"/>
        </w:rPr>
        <w:t>How you stack up vs the SaaS SE industry</w:t>
      </w:r>
    </w:p>
    <w:p>
      <w:r>
        <w:rPr>
          <w:b w:val="0"/>
          <w:sz w:val="22"/>
        </w:rPr>
        <w:t>Across 1 demos this month, your weighted score is 2.29/5 — approximately the 10th percentile of B2B SaaS Solution Engineers (industry medians from Gartner SE Excellence, PreSales Collective, and Bain SaaS GTM benchmarks).</w:t>
      </w:r>
    </w:p>
    <w:p>
      <w:pPr>
        <w:pStyle w:val="Heading2"/>
      </w:pPr>
      <w:r>
        <w:rPr>
          <w:color w:val="1A2B3D"/>
        </w:rPr>
        <w:t>Score by criterion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Criterion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Weight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Your score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Industry median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Gap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Communication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3.00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3.80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-0.80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Presentation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10%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2.75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3.60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-0.85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Audience Engagement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3.75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3.40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+0.35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Solution Skills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30%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1.75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3.50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-1.75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Consultative Approach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2.67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3.20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-0.53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Touchbase on Pain Points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2.00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3.30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-1.30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Craftsmanship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1.75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3.00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-1.25</w:t>
            </w:r>
          </w:p>
        </w:tc>
      </w:tr>
    </w:tbl>
    <w:p/>
    <w:p>
      <w:pPr>
        <w:pStyle w:val="Heading2"/>
      </w:pPr>
      <w:r>
        <w:rPr>
          <w:color w:val="1A2B3D"/>
        </w:rPr>
        <w:t>Your last 3 months</w:t>
      </w:r>
    </w:p>
    <w:p>
      <w:r>
        <w:rPr>
          <w:b/>
          <w:color w:val="1A2B3D"/>
          <w:sz w:val="22"/>
        </w:rPr>
        <w:t>2.29    (stable)</w:t>
      </w:r>
    </w:p>
    <w:p>
      <w:pPr>
        <w:pStyle w:val="Heading2"/>
      </w:pPr>
      <w:r>
        <w:rPr>
          <w:color w:val="1A2B3D"/>
        </w:rPr>
        <w:t>Your top 3 strengths this month</w:t>
      </w:r>
    </w:p>
    <w:p>
      <w:pPr>
        <w:pStyle w:val="ListBullet"/>
      </w:pPr>
      <w:r>
        <w:t>Exceptional patience and warmth — created psychological safety for Christian to admit navigation struggles ('I've never seen anybody pick up a product like this quickly' was a beautifully timed reassurance)</w:t>
      </w:r>
    </w:p>
    <w:p>
      <w:pPr>
        <w:pStyle w:val="ListBullet"/>
      </w:pPr>
      <w:r>
        <w:t>Named every attendee throughout; handled Mahima rejoining mid-call and Aqsa dropping without losing flow</w:t>
      </w:r>
    </w:p>
    <w:p>
      <w:pPr>
        <w:pStyle w:val="ListBullet"/>
      </w:pPr>
      <w:r>
        <w:t>Closed cleanly with a structured 'here's how you'd actually run this end-to-end' walkthrough that gave the team a mental model for the pilot</w:t>
      </w:r>
    </w:p>
    <w:p>
      <w:pPr>
        <w:pStyle w:val="Heading2"/>
      </w:pPr>
      <w:r>
        <w:rPr>
          <w:color w:val="1A2B3D"/>
        </w:rPr>
        <w:t>Top 3 areas of improvement</w:t>
      </w:r>
    </w:p>
    <w:p>
      <w:pPr>
        <w:pStyle w:val="ListBullet"/>
      </w:pPr>
      <w:r>
        <w:t>Missed the most important architectural question for an HR consulting firm: subaccount / multi-client management. Mahima had to surface it at minute ~50, and Ishrath openly acknowledged he had missed it. This should have been the opening 10 minutes of the call.</w:t>
      </w:r>
    </w:p>
    <w:p>
      <w:pPr>
        <w:pStyle w:val="ListBullet"/>
      </w:pPr>
      <w:r>
        <w:t>Zero discovery. Never asked 'what's broken in your current process?' or 'what made you start looking?'. Treated the call as feature-walkthrough, missing the chance to surface competitor name, deal motivation, and decision criteria.</w:t>
      </w:r>
    </w:p>
    <w:p>
      <w:pPr>
        <w:pStyle w:val="ListBullet"/>
      </w:pPr>
      <w:r>
        <w:t>Demo environment was generic — no BTS logo, no consulting-firm sample data, no pre-built multi-client workspace. For a hand-holding session with the actual buyers in the room, this is a missed personalization win.</w:t>
      </w:r>
    </w:p>
    <w:p>
      <w:pPr>
        <w:pStyle w:val="Heading2"/>
      </w:pPr>
      <w:r>
        <w:rPr>
          <w:color w:val="1A2B3D"/>
        </w:rPr>
        <w:t>Your single coaching action for next month</w:t>
      </w:r>
    </w:p>
    <w:p>
      <w:r>
        <w:rPr>
          <w:i/>
          <w:color w:val="296FC4"/>
          <w:sz w:val="22"/>
        </w:rPr>
        <w:t>Before every BTS interaction from now on, spend 20 minutes pre-call setting up a 'BTS Demo Workspace' that already has: (1) two sample client subaccounts ('Client A', 'Client B') seeded with realistic 360 surveys, (2) BTS logo applied, (3) one approval workflow pre-wired. Open every call by demoing the subaccount switcher — it's their primary use case, not an afterthought.</w:t>
      </w:r>
    </w:p>
    <w:p>
      <w:pPr>
        <w:pStyle w:val="Heading2"/>
      </w:pPr>
      <w:r>
        <w:rPr>
          <w:color w:val="1A2B3D"/>
        </w:rPr>
        <w:t>What your demos told us about the market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CX maturity mix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Potential High Maturity CX: 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Demos classified feature-selling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color w:val="C93535"/>
                <w:sz w:val="20"/>
              </w:rPr>
              <w:t>1 of 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Avg AE interruptions per call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Competitors you faced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Previous tool (name not surfaced)</w:t>
            </w:r>
          </w:p>
        </w:tc>
      </w:tr>
    </w:tbl>
    <w:p/>
    <w:p>
      <w:pPr>
        <w:pStyle w:val="Heading2"/>
      </w:pPr>
      <w:r>
        <w:rPr>
          <w:color w:val="1A2B3D"/>
        </w:rPr>
        <w:t>Evidence: highest- and lowest-scoring moments</w:t>
      </w:r>
    </w:p>
    <w:p>
      <w:r>
        <w:rPr>
          <w:b/>
          <w:color w:val="2EA05F"/>
          <w:sz w:val="20"/>
        </w:rPr>
        <w:t>BEST  ·  Audience Engagement → Personalization  (4.0/5)</w:t>
      </w:r>
    </w:p>
    <w:p>
      <w:r>
        <w:rPr>
          <w:b w:val="0"/>
          <w:color w:val="6B7280"/>
          <w:sz w:val="20"/>
        </w:rPr>
        <w:t xml:space="preserve">  "Used names constantly, addressed each attendee individually: 'Mahima, I'm really really glad you brought it up because I missed it'"</w:t>
      </w:r>
    </w:p>
    <w:p>
      <w:r>
        <w:rPr>
          <w:b/>
          <w:color w:val="C93535"/>
          <w:sz w:val="20"/>
        </w:rPr>
        <w:t>WORST  ·  Craftsmanship → Personalization  (1.5/5)</w:t>
      </w:r>
    </w:p>
    <w:p>
      <w:r>
        <w:rPr>
          <w:b w:val="0"/>
          <w:color w:val="6B7280"/>
          <w:sz w:val="20"/>
        </w:rPr>
        <w:t xml:space="preserve">  "Demo env had no BTS branding, no sample BTS consulting-firm data, no client-management workspace pre-staged"</w:t>
      </w:r>
    </w:p>
    <w:p/>
    <w:p>
      <w:r>
        <w:rPr>
          <w:i/>
          <w:color w:val="6B7280"/>
          <w:sz w:val="18"/>
        </w:rPr>
        <w:t>Generated by SurveySparrow SE Demo Assessment Agent · Questions? Reply to this email (kaushikn2416@gmail.com is on CC).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