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6EE3" w:rsidRPr="003B5C13" w:rsidRDefault="00D96EE3" w:rsidP="003B5C13">
      <w:pPr>
        <w:jc w:val="center"/>
        <w:rPr>
          <w:b/>
          <w:bCs/>
          <w:sz w:val="56"/>
          <w:szCs w:val="56"/>
        </w:rPr>
      </w:pPr>
      <w:r w:rsidRPr="003B5C13">
        <w:rPr>
          <w:b/>
          <w:bCs/>
          <w:sz w:val="56"/>
          <w:szCs w:val="56"/>
        </w:rPr>
        <w:t>Freshco Hypermart Capstone Project Report</w:t>
      </w:r>
    </w:p>
    <w:p w:rsidR="00276621" w:rsidRDefault="00276621" w:rsidP="00276621">
      <w:pPr>
        <w:spacing w:after="0"/>
        <w:jc w:val="both"/>
        <w:rPr>
          <w:sz w:val="24"/>
          <w:szCs w:val="24"/>
        </w:rPr>
      </w:pPr>
    </w:p>
    <w:p w:rsidR="00276621" w:rsidRDefault="00276621" w:rsidP="00276621">
      <w:pPr>
        <w:spacing w:after="0"/>
        <w:jc w:val="both"/>
        <w:rPr>
          <w:sz w:val="24"/>
          <w:szCs w:val="24"/>
        </w:rPr>
      </w:pPr>
    </w:p>
    <w:p w:rsidR="00276621" w:rsidRDefault="00276621" w:rsidP="00276621">
      <w:pPr>
        <w:spacing w:after="0"/>
        <w:jc w:val="both"/>
        <w:rPr>
          <w:sz w:val="24"/>
          <w:szCs w:val="24"/>
        </w:rPr>
      </w:pPr>
    </w:p>
    <w:p w:rsidR="00276621" w:rsidRDefault="00276621" w:rsidP="00276621">
      <w:pPr>
        <w:spacing w:after="0"/>
        <w:jc w:val="both"/>
        <w:rPr>
          <w:sz w:val="24"/>
          <w:szCs w:val="24"/>
        </w:rPr>
      </w:pPr>
    </w:p>
    <w:p w:rsidR="00276621" w:rsidRDefault="00276621" w:rsidP="00276621">
      <w:pPr>
        <w:spacing w:after="0"/>
        <w:jc w:val="both"/>
        <w:rPr>
          <w:sz w:val="24"/>
          <w:szCs w:val="24"/>
        </w:rPr>
      </w:pPr>
    </w:p>
    <w:p w:rsidR="00D96EE3" w:rsidRPr="00276621" w:rsidRDefault="00D96EE3" w:rsidP="00276621">
      <w:pPr>
        <w:spacing w:after="0"/>
        <w:jc w:val="both"/>
        <w:rPr>
          <w:sz w:val="24"/>
          <w:szCs w:val="24"/>
        </w:rPr>
      </w:pPr>
      <w:r w:rsidRPr="00276621">
        <w:rPr>
          <w:sz w:val="24"/>
          <w:szCs w:val="24"/>
        </w:rPr>
        <w:t xml:space="preserve">This report is a key outcome of the Capstone Project to be submitted to Skillovilla team. </w:t>
      </w:r>
    </w:p>
    <w:p w:rsidR="00D96EE3" w:rsidRPr="00276621" w:rsidRDefault="00D96EE3" w:rsidP="00276621">
      <w:pPr>
        <w:spacing w:after="0"/>
        <w:jc w:val="both"/>
        <w:rPr>
          <w:sz w:val="24"/>
          <w:szCs w:val="24"/>
        </w:rPr>
      </w:pPr>
      <w:r w:rsidRPr="00276621">
        <w:rPr>
          <w:sz w:val="24"/>
          <w:szCs w:val="24"/>
        </w:rPr>
        <w:t xml:space="preserve">I would be presenting </w:t>
      </w:r>
      <w:r w:rsidR="00276621" w:rsidRPr="00276621">
        <w:rPr>
          <w:sz w:val="24"/>
          <w:szCs w:val="24"/>
        </w:rPr>
        <w:t xml:space="preserve">the insights which I uncovered for the Freshco Hypermart Store. </w:t>
      </w:r>
    </w:p>
    <w:p w:rsidR="00276621" w:rsidRDefault="00276621" w:rsidP="00276621">
      <w:pPr>
        <w:spacing w:after="0"/>
        <w:jc w:val="both"/>
        <w:rPr>
          <w:sz w:val="24"/>
          <w:szCs w:val="24"/>
        </w:rPr>
      </w:pPr>
      <w:r w:rsidRPr="00276621">
        <w:rPr>
          <w:sz w:val="24"/>
          <w:szCs w:val="24"/>
        </w:rPr>
        <w:t xml:space="preserve">First, the </w:t>
      </w:r>
      <w:r w:rsidRPr="00276621">
        <w:rPr>
          <w:b/>
          <w:bCs/>
          <w:sz w:val="24"/>
          <w:szCs w:val="24"/>
        </w:rPr>
        <w:t xml:space="preserve">Order Level Analysis </w:t>
      </w:r>
      <w:r w:rsidRPr="00276621">
        <w:rPr>
          <w:sz w:val="24"/>
          <w:szCs w:val="24"/>
        </w:rPr>
        <w:t xml:space="preserve">is presented in which the findings about the orders are presented. Thereafter, </w:t>
      </w:r>
      <w:r w:rsidRPr="00276621">
        <w:rPr>
          <w:b/>
          <w:bCs/>
          <w:sz w:val="24"/>
          <w:szCs w:val="24"/>
        </w:rPr>
        <w:t>Completion Rate Analysis</w:t>
      </w:r>
      <w:r w:rsidRPr="00276621">
        <w:rPr>
          <w:sz w:val="24"/>
          <w:szCs w:val="24"/>
        </w:rPr>
        <w:t xml:space="preserve"> is presented which is about Completion Rate across various drop locations. Then, </w:t>
      </w:r>
      <w:r w:rsidRPr="00276621">
        <w:rPr>
          <w:b/>
          <w:bCs/>
          <w:sz w:val="24"/>
          <w:szCs w:val="24"/>
        </w:rPr>
        <w:t xml:space="preserve">Customer Analysis </w:t>
      </w:r>
      <w:r w:rsidRPr="00276621">
        <w:rPr>
          <w:sz w:val="24"/>
          <w:szCs w:val="24"/>
        </w:rPr>
        <w:t xml:space="preserve">is done which includes crucial metrics such as </w:t>
      </w:r>
      <w:r w:rsidRPr="00276621">
        <w:rPr>
          <w:b/>
          <w:bCs/>
          <w:sz w:val="24"/>
          <w:szCs w:val="24"/>
        </w:rPr>
        <w:t xml:space="preserve">Lifetime Value (LTV) </w:t>
      </w:r>
      <w:r w:rsidRPr="00276621">
        <w:rPr>
          <w:sz w:val="24"/>
          <w:szCs w:val="24"/>
        </w:rPr>
        <w:t xml:space="preserve">and </w:t>
      </w:r>
      <w:r w:rsidRPr="00276621">
        <w:rPr>
          <w:b/>
          <w:bCs/>
          <w:sz w:val="24"/>
          <w:szCs w:val="24"/>
        </w:rPr>
        <w:t>Average Lifetime Value</w:t>
      </w:r>
      <w:r w:rsidRPr="00276621">
        <w:rPr>
          <w:sz w:val="24"/>
          <w:szCs w:val="24"/>
        </w:rPr>
        <w:t>. The report ends with some key fi</w:t>
      </w:r>
      <w:r>
        <w:rPr>
          <w:sz w:val="24"/>
          <w:szCs w:val="24"/>
        </w:rPr>
        <w:t xml:space="preserve">ndings of the </w:t>
      </w:r>
      <w:r>
        <w:rPr>
          <w:b/>
          <w:bCs/>
          <w:sz w:val="24"/>
          <w:szCs w:val="24"/>
        </w:rPr>
        <w:t>Delivery Analysis</w:t>
      </w:r>
      <w:r>
        <w:rPr>
          <w:sz w:val="24"/>
          <w:szCs w:val="24"/>
        </w:rPr>
        <w:t>.</w:t>
      </w:r>
    </w:p>
    <w:p w:rsidR="00276621" w:rsidRPr="00276621" w:rsidRDefault="00276621" w:rsidP="00276621">
      <w:pPr>
        <w:spacing w:after="0"/>
        <w:jc w:val="both"/>
        <w:rPr>
          <w:sz w:val="24"/>
          <w:szCs w:val="24"/>
        </w:rPr>
      </w:pPr>
    </w:p>
    <w:p w:rsidR="00D96EE3" w:rsidRDefault="00D96EE3" w:rsidP="00D96EE3">
      <w:pPr>
        <w:rPr>
          <w:sz w:val="32"/>
          <w:szCs w:val="32"/>
        </w:rPr>
      </w:pPr>
    </w:p>
    <w:p w:rsidR="00276621" w:rsidRDefault="00276621" w:rsidP="00D96EE3">
      <w:pPr>
        <w:rPr>
          <w:sz w:val="32"/>
          <w:szCs w:val="32"/>
        </w:rPr>
      </w:pPr>
    </w:p>
    <w:p w:rsidR="00276621" w:rsidRDefault="00276621" w:rsidP="00D96EE3">
      <w:pPr>
        <w:rPr>
          <w:sz w:val="32"/>
          <w:szCs w:val="32"/>
        </w:rPr>
      </w:pPr>
    </w:p>
    <w:p w:rsidR="00276621" w:rsidRDefault="00276621" w:rsidP="00D96EE3">
      <w:pPr>
        <w:rPr>
          <w:sz w:val="32"/>
          <w:szCs w:val="32"/>
        </w:rPr>
      </w:pPr>
    </w:p>
    <w:p w:rsidR="00276621" w:rsidRDefault="00276621" w:rsidP="00D96EE3">
      <w:pPr>
        <w:rPr>
          <w:sz w:val="32"/>
          <w:szCs w:val="32"/>
        </w:rPr>
      </w:pPr>
    </w:p>
    <w:p w:rsidR="00276621" w:rsidRDefault="00276621" w:rsidP="00D96EE3">
      <w:pPr>
        <w:rPr>
          <w:sz w:val="32"/>
          <w:szCs w:val="32"/>
        </w:rPr>
      </w:pPr>
    </w:p>
    <w:p w:rsidR="00276621" w:rsidRDefault="00276621" w:rsidP="00D96EE3">
      <w:pPr>
        <w:rPr>
          <w:sz w:val="32"/>
          <w:szCs w:val="32"/>
        </w:rPr>
      </w:pPr>
    </w:p>
    <w:p w:rsidR="00276621" w:rsidRDefault="00276621" w:rsidP="00D96EE3">
      <w:pPr>
        <w:rPr>
          <w:sz w:val="32"/>
          <w:szCs w:val="32"/>
        </w:rPr>
      </w:pPr>
    </w:p>
    <w:p w:rsidR="00276621" w:rsidRDefault="00276621" w:rsidP="00D96EE3">
      <w:pPr>
        <w:rPr>
          <w:sz w:val="32"/>
          <w:szCs w:val="32"/>
        </w:rPr>
      </w:pPr>
    </w:p>
    <w:p w:rsidR="003B5C13" w:rsidRDefault="003B5C13" w:rsidP="00D96EE3">
      <w:pPr>
        <w:rPr>
          <w:sz w:val="32"/>
          <w:szCs w:val="32"/>
        </w:rPr>
      </w:pPr>
    </w:p>
    <w:p w:rsidR="00276621" w:rsidRDefault="00276621" w:rsidP="00D96EE3">
      <w:pPr>
        <w:rPr>
          <w:sz w:val="32"/>
          <w:szCs w:val="32"/>
        </w:rPr>
      </w:pPr>
    </w:p>
    <w:p w:rsidR="00D96EE3" w:rsidRPr="00A317AC" w:rsidRDefault="00D96EE3" w:rsidP="00A317AC">
      <w:pPr>
        <w:rPr>
          <w:b/>
          <w:bCs/>
          <w:sz w:val="24"/>
          <w:szCs w:val="24"/>
        </w:rPr>
      </w:pPr>
      <w:r w:rsidRPr="00A317AC">
        <w:rPr>
          <w:b/>
          <w:bCs/>
          <w:sz w:val="32"/>
          <w:szCs w:val="32"/>
        </w:rPr>
        <w:lastRenderedPageBreak/>
        <w:t>Order Level Analysis</w:t>
      </w:r>
    </w:p>
    <w:p w:rsidR="00A317AC" w:rsidRDefault="00A317AC" w:rsidP="00A317AC">
      <w:pPr>
        <w:spacing w:after="0"/>
        <w:rPr>
          <w:sz w:val="24"/>
          <w:szCs w:val="24"/>
        </w:rPr>
      </w:pPr>
      <w:r w:rsidRPr="00A317AC">
        <w:rPr>
          <w:sz w:val="24"/>
          <w:szCs w:val="24"/>
        </w:rPr>
        <w:t xml:space="preserve">More than 85% of the orders originate from two places: - </w:t>
      </w:r>
      <w:r w:rsidRPr="00A317AC">
        <w:rPr>
          <w:b/>
          <w:bCs/>
          <w:sz w:val="24"/>
          <w:szCs w:val="24"/>
        </w:rPr>
        <w:t>HSR Layout and ITI Layout</w:t>
      </w:r>
    </w:p>
    <w:p w:rsidR="00A317AC" w:rsidRPr="00A317AC" w:rsidRDefault="00A317AC" w:rsidP="00A317AC">
      <w:pPr>
        <w:spacing w:after="0"/>
        <w:rPr>
          <w:sz w:val="24"/>
          <w:szCs w:val="24"/>
        </w:rPr>
      </w:pPr>
    </w:p>
    <w:p w:rsidR="00D96EE3" w:rsidRPr="00D96EE3" w:rsidRDefault="00D96EE3" w:rsidP="00D96EE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CF88981" wp14:editId="7AE8353D">
            <wp:extent cx="5562600" cy="3017520"/>
            <wp:effectExtent l="0" t="0" r="0" b="11430"/>
            <wp:docPr id="16633558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B689EF-C99C-0C04-0E8F-D2F47F5026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17AC" w:rsidRDefault="00A317AC" w:rsidP="00A317AC">
      <w:pPr>
        <w:rPr>
          <w:b/>
          <w:bCs/>
          <w:sz w:val="24"/>
          <w:szCs w:val="24"/>
        </w:rPr>
      </w:pPr>
    </w:p>
    <w:p w:rsidR="00A317AC" w:rsidRDefault="00DB56AC" w:rsidP="00A317AC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22908">
            <wp:simplePos x="0" y="0"/>
            <wp:positionH relativeFrom="margin">
              <wp:align>left</wp:align>
            </wp:positionH>
            <wp:positionV relativeFrom="paragraph">
              <wp:posOffset>591820</wp:posOffset>
            </wp:positionV>
            <wp:extent cx="5699760" cy="3878580"/>
            <wp:effectExtent l="0" t="0" r="15240" b="7620"/>
            <wp:wrapSquare wrapText="bothSides"/>
            <wp:docPr id="431196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842F55-A6E4-2F0B-C967-2C7DEAC1F2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7AC" w:rsidRPr="00A317AC">
        <w:rPr>
          <w:b/>
          <w:bCs/>
          <w:sz w:val="24"/>
          <w:szCs w:val="24"/>
        </w:rPr>
        <w:t>HSR Layout, ITI Layout and Harlur</w:t>
      </w:r>
      <w:r w:rsidR="00A317AC" w:rsidRPr="00A317AC">
        <w:rPr>
          <w:sz w:val="24"/>
          <w:szCs w:val="24"/>
        </w:rPr>
        <w:t xml:space="preserve"> in that order experienced largest surge in absolute number of orders from January to September.</w:t>
      </w:r>
    </w:p>
    <w:p w:rsidR="002A0B7C" w:rsidRPr="002A0B7C" w:rsidRDefault="00E22FA1" w:rsidP="002A0B7C">
      <w:pPr>
        <w:spacing w:after="0"/>
        <w:rPr>
          <w:sz w:val="24"/>
          <w:szCs w:val="24"/>
        </w:rPr>
      </w:pPr>
      <w:r w:rsidRPr="002A0B7C">
        <w:rPr>
          <w:sz w:val="24"/>
          <w:szCs w:val="24"/>
        </w:rPr>
        <w:lastRenderedPageBreak/>
        <w:t xml:space="preserve">3. </w:t>
      </w:r>
      <w:r w:rsidR="002A0B7C" w:rsidRPr="002A0B7C">
        <w:rPr>
          <w:b/>
          <w:bCs/>
          <w:sz w:val="24"/>
          <w:szCs w:val="24"/>
        </w:rPr>
        <w:t>Delivery Charges per Product Amount</w:t>
      </w:r>
      <w:r w:rsidR="002A0B7C" w:rsidRPr="002A0B7C">
        <w:rPr>
          <w:sz w:val="24"/>
          <w:szCs w:val="24"/>
        </w:rPr>
        <w:t xml:space="preserve"> is highest for </w:t>
      </w:r>
      <w:r w:rsidR="002A0B7C" w:rsidRPr="002A0B7C">
        <w:rPr>
          <w:b/>
          <w:bCs/>
          <w:sz w:val="24"/>
          <w:szCs w:val="24"/>
        </w:rPr>
        <w:t>Late Night orders</w:t>
      </w:r>
      <w:r w:rsidR="002A0B7C" w:rsidRPr="002A0B7C">
        <w:rPr>
          <w:sz w:val="24"/>
          <w:szCs w:val="24"/>
        </w:rPr>
        <w:t xml:space="preserve"> across all the months barring </w:t>
      </w:r>
      <w:r w:rsidR="002A0B7C" w:rsidRPr="002A0B7C">
        <w:rPr>
          <w:b/>
          <w:bCs/>
          <w:sz w:val="24"/>
          <w:szCs w:val="24"/>
        </w:rPr>
        <w:t>May</w:t>
      </w:r>
      <w:r w:rsidR="002A0B7C" w:rsidRPr="002A0B7C">
        <w:rPr>
          <w:sz w:val="24"/>
          <w:szCs w:val="24"/>
        </w:rPr>
        <w:t>.</w:t>
      </w:r>
    </w:p>
    <w:p w:rsidR="002A0B7C" w:rsidRPr="002A0B7C" w:rsidRDefault="002A0B7C" w:rsidP="002A0B7C">
      <w:pPr>
        <w:spacing w:after="0"/>
        <w:rPr>
          <w:sz w:val="24"/>
          <w:szCs w:val="24"/>
        </w:rPr>
      </w:pPr>
      <w:r w:rsidRPr="002A0B7C">
        <w:rPr>
          <w:sz w:val="24"/>
          <w:szCs w:val="24"/>
        </w:rPr>
        <w:t xml:space="preserve">4. The metric is highest in the month of </w:t>
      </w:r>
      <w:r w:rsidRPr="002A0B7C">
        <w:rPr>
          <w:b/>
          <w:bCs/>
          <w:sz w:val="24"/>
          <w:szCs w:val="24"/>
        </w:rPr>
        <w:t>January.</w:t>
      </w:r>
    </w:p>
    <w:p w:rsidR="00CC52CD" w:rsidRDefault="002A0B7C" w:rsidP="00A317AC">
      <w:pPr>
        <w:spacing w:after="0"/>
        <w:rPr>
          <w:sz w:val="24"/>
          <w:szCs w:val="24"/>
        </w:rPr>
      </w:pPr>
      <w:r w:rsidRPr="002A0B7C">
        <w:rPr>
          <w:sz w:val="24"/>
          <w:szCs w:val="24"/>
        </w:rPr>
        <w:t xml:space="preserve">5. The metric improves significantly by more than </w:t>
      </w:r>
      <w:r w:rsidRPr="002A0B7C">
        <w:rPr>
          <w:b/>
          <w:bCs/>
          <w:sz w:val="24"/>
          <w:szCs w:val="24"/>
        </w:rPr>
        <w:t>8</w:t>
      </w:r>
      <w:r w:rsidRPr="002A0B7C">
        <w:rPr>
          <w:sz w:val="24"/>
          <w:szCs w:val="24"/>
        </w:rPr>
        <w:t xml:space="preserve"> percentage points to come down to near </w:t>
      </w:r>
      <w:r w:rsidRPr="002A0B7C">
        <w:rPr>
          <w:b/>
          <w:bCs/>
          <w:sz w:val="24"/>
          <w:szCs w:val="24"/>
        </w:rPr>
        <w:t>2% in September</w:t>
      </w:r>
      <w:r w:rsidRPr="002A0B7C">
        <w:rPr>
          <w:sz w:val="24"/>
          <w:szCs w:val="24"/>
        </w:rPr>
        <w:t>.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378"/>
        <w:gridCol w:w="1350"/>
        <w:gridCol w:w="1350"/>
        <w:gridCol w:w="1170"/>
        <w:gridCol w:w="1004"/>
        <w:gridCol w:w="1251"/>
      </w:tblGrid>
      <w:tr w:rsidR="002A0B7C" w:rsidRPr="00E22FA1" w:rsidTr="00CC52CD">
        <w:trPr>
          <w:trHeight w:val="68"/>
        </w:trPr>
        <w:tc>
          <w:tcPr>
            <w:tcW w:w="1587" w:type="dxa"/>
            <w:shd w:val="clear" w:color="D9E1F2" w:fill="D9E1F2"/>
            <w:noWrap/>
            <w:vAlign w:val="bottom"/>
            <w:hideMark/>
          </w:tcPr>
          <w:p w:rsidR="00D96893" w:rsidRPr="00E22FA1" w:rsidRDefault="00D96893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Month</w:t>
            </w:r>
          </w:p>
        </w:tc>
        <w:tc>
          <w:tcPr>
            <w:tcW w:w="1378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Afternoon</w:t>
            </w:r>
          </w:p>
        </w:tc>
        <w:tc>
          <w:tcPr>
            <w:tcW w:w="1350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Evening</w:t>
            </w:r>
          </w:p>
        </w:tc>
        <w:tc>
          <w:tcPr>
            <w:tcW w:w="1350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Late Night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Morning</w:t>
            </w:r>
          </w:p>
        </w:tc>
        <w:tc>
          <w:tcPr>
            <w:tcW w:w="1004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Night</w:t>
            </w:r>
          </w:p>
        </w:tc>
        <w:tc>
          <w:tcPr>
            <w:tcW w:w="1251" w:type="dxa"/>
            <w:shd w:val="clear" w:color="D9E1F2" w:fill="D9E1F2"/>
            <w:noWrap/>
            <w:vAlign w:val="bottom"/>
            <w:hideMark/>
          </w:tcPr>
          <w:p w:rsidR="002A0B7C" w:rsidRPr="00E22FA1" w:rsidRDefault="00D96893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Overall</w:t>
            </w:r>
            <w:r w:rsidR="008F671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 xml:space="preserve"> Delivery Charges per Product Amount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Jan</w:t>
            </w:r>
          </w:p>
        </w:tc>
        <w:tc>
          <w:tcPr>
            <w:tcW w:w="1378" w:type="dxa"/>
            <w:shd w:val="clear" w:color="000000" w:fill="FECE7F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9.33%</w:t>
            </w:r>
          </w:p>
        </w:tc>
        <w:tc>
          <w:tcPr>
            <w:tcW w:w="1350" w:type="dxa"/>
            <w:shd w:val="clear" w:color="000000" w:fill="FDC27D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10.22%</w:t>
            </w:r>
          </w:p>
        </w:tc>
        <w:tc>
          <w:tcPr>
            <w:tcW w:w="1350" w:type="dxa"/>
            <w:shd w:val="clear" w:color="000000" w:fill="F9776E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15.91%</w:t>
            </w:r>
          </w:p>
        </w:tc>
        <w:tc>
          <w:tcPr>
            <w:tcW w:w="1170" w:type="dxa"/>
            <w:shd w:val="clear" w:color="000000" w:fill="FDBA7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10.82%</w:t>
            </w:r>
          </w:p>
        </w:tc>
        <w:tc>
          <w:tcPr>
            <w:tcW w:w="1004" w:type="dxa"/>
            <w:shd w:val="clear" w:color="000000" w:fill="FDBB7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10.82%</w:t>
            </w:r>
          </w:p>
        </w:tc>
        <w:tc>
          <w:tcPr>
            <w:tcW w:w="1251" w:type="dxa"/>
            <w:shd w:val="clear" w:color="000000" w:fill="FDBC7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10.72%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Feb</w:t>
            </w:r>
          </w:p>
        </w:tc>
        <w:tc>
          <w:tcPr>
            <w:tcW w:w="1378" w:type="dxa"/>
            <w:shd w:val="clear" w:color="000000" w:fill="FFE383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7.77%</w:t>
            </w:r>
          </w:p>
        </w:tc>
        <w:tc>
          <w:tcPr>
            <w:tcW w:w="1350" w:type="dxa"/>
            <w:shd w:val="clear" w:color="000000" w:fill="FED780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8.69%</w:t>
            </w:r>
          </w:p>
        </w:tc>
        <w:tc>
          <w:tcPr>
            <w:tcW w:w="1350" w:type="dxa"/>
            <w:shd w:val="clear" w:color="000000" w:fill="F8696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16.95%</w:t>
            </w:r>
          </w:p>
        </w:tc>
        <w:tc>
          <w:tcPr>
            <w:tcW w:w="1170" w:type="dxa"/>
            <w:shd w:val="clear" w:color="000000" w:fill="FDC47D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10.10%</w:t>
            </w:r>
          </w:p>
        </w:tc>
        <w:tc>
          <w:tcPr>
            <w:tcW w:w="1004" w:type="dxa"/>
            <w:shd w:val="clear" w:color="000000" w:fill="FDC57D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10.04%</w:t>
            </w:r>
          </w:p>
        </w:tc>
        <w:tc>
          <w:tcPr>
            <w:tcW w:w="1251" w:type="dxa"/>
            <w:shd w:val="clear" w:color="000000" w:fill="FEC97E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9.74%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Mar</w:t>
            </w:r>
          </w:p>
        </w:tc>
        <w:tc>
          <w:tcPr>
            <w:tcW w:w="1378" w:type="dxa"/>
            <w:shd w:val="clear" w:color="000000" w:fill="FFE683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7.53%</w:t>
            </w:r>
          </w:p>
        </w:tc>
        <w:tc>
          <w:tcPr>
            <w:tcW w:w="1350" w:type="dxa"/>
            <w:shd w:val="clear" w:color="000000" w:fill="FFDB81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8.35%</w:t>
            </w:r>
          </w:p>
        </w:tc>
        <w:tc>
          <w:tcPr>
            <w:tcW w:w="1350" w:type="dxa"/>
            <w:shd w:val="clear" w:color="000000" w:fill="F9776E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15.92%</w:t>
            </w:r>
          </w:p>
        </w:tc>
        <w:tc>
          <w:tcPr>
            <w:tcW w:w="1170" w:type="dxa"/>
            <w:shd w:val="clear" w:color="000000" w:fill="FFD981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8.51%</w:t>
            </w:r>
          </w:p>
        </w:tc>
        <w:tc>
          <w:tcPr>
            <w:tcW w:w="1004" w:type="dxa"/>
            <w:shd w:val="clear" w:color="000000" w:fill="FED480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8.89%</w:t>
            </w:r>
          </w:p>
        </w:tc>
        <w:tc>
          <w:tcPr>
            <w:tcW w:w="1251" w:type="dxa"/>
            <w:shd w:val="clear" w:color="000000" w:fill="FED380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8.99%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Apr</w:t>
            </w:r>
          </w:p>
        </w:tc>
        <w:tc>
          <w:tcPr>
            <w:tcW w:w="1378" w:type="dxa"/>
            <w:shd w:val="clear" w:color="000000" w:fill="FFE283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7.81%</w:t>
            </w:r>
          </w:p>
        </w:tc>
        <w:tc>
          <w:tcPr>
            <w:tcW w:w="1350" w:type="dxa"/>
            <w:shd w:val="clear" w:color="000000" w:fill="FFE08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7.99%</w:t>
            </w:r>
          </w:p>
        </w:tc>
        <w:tc>
          <w:tcPr>
            <w:tcW w:w="1350" w:type="dxa"/>
            <w:shd w:val="clear" w:color="000000" w:fill="F97B6F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15.61%</w:t>
            </w:r>
          </w:p>
        </w:tc>
        <w:tc>
          <w:tcPr>
            <w:tcW w:w="1170" w:type="dxa"/>
            <w:shd w:val="clear" w:color="000000" w:fill="FFE18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7.91%</w:t>
            </w:r>
          </w:p>
        </w:tc>
        <w:tc>
          <w:tcPr>
            <w:tcW w:w="1004" w:type="dxa"/>
            <w:shd w:val="clear" w:color="000000" w:fill="FECD7F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9.44%</w:t>
            </w:r>
          </w:p>
        </w:tc>
        <w:tc>
          <w:tcPr>
            <w:tcW w:w="1251" w:type="dxa"/>
            <w:shd w:val="clear" w:color="000000" w:fill="FED881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8.60%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May</w:t>
            </w:r>
          </w:p>
        </w:tc>
        <w:tc>
          <w:tcPr>
            <w:tcW w:w="1378" w:type="dxa"/>
            <w:shd w:val="clear" w:color="000000" w:fill="BFD880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4.89%</w:t>
            </w:r>
          </w:p>
        </w:tc>
        <w:tc>
          <w:tcPr>
            <w:tcW w:w="1350" w:type="dxa"/>
            <w:shd w:val="clear" w:color="000000" w:fill="D4DE81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5.64%</w:t>
            </w:r>
          </w:p>
        </w:tc>
        <w:tc>
          <w:tcPr>
            <w:tcW w:w="1350" w:type="dxa"/>
            <w:shd w:val="clear" w:color="000000" w:fill="B1D47F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4.42%</w:t>
            </w:r>
          </w:p>
        </w:tc>
        <w:tc>
          <w:tcPr>
            <w:tcW w:w="1170" w:type="dxa"/>
            <w:shd w:val="clear" w:color="000000" w:fill="BFD880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4.92%</w:t>
            </w:r>
          </w:p>
        </w:tc>
        <w:tc>
          <w:tcPr>
            <w:tcW w:w="1004" w:type="dxa"/>
            <w:shd w:val="clear" w:color="000000" w:fill="EDE58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6.50%</w:t>
            </w:r>
          </w:p>
        </w:tc>
        <w:tc>
          <w:tcPr>
            <w:tcW w:w="1251" w:type="dxa"/>
            <w:shd w:val="clear" w:color="000000" w:fill="CCDC81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5.34%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Jun</w:t>
            </w:r>
          </w:p>
        </w:tc>
        <w:tc>
          <w:tcPr>
            <w:tcW w:w="1378" w:type="dxa"/>
            <w:shd w:val="clear" w:color="000000" w:fill="C6DA80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5.16%</w:t>
            </w:r>
          </w:p>
        </w:tc>
        <w:tc>
          <w:tcPr>
            <w:tcW w:w="1350" w:type="dxa"/>
            <w:shd w:val="clear" w:color="000000" w:fill="CDDC81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5.38%</w:t>
            </w:r>
          </w:p>
        </w:tc>
        <w:tc>
          <w:tcPr>
            <w:tcW w:w="1350" w:type="dxa"/>
            <w:shd w:val="clear" w:color="000000" w:fill="FCA276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12.68%</w:t>
            </w:r>
          </w:p>
        </w:tc>
        <w:tc>
          <w:tcPr>
            <w:tcW w:w="1170" w:type="dxa"/>
            <w:shd w:val="clear" w:color="000000" w:fill="BAD780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4.73%</w:t>
            </w:r>
          </w:p>
        </w:tc>
        <w:tc>
          <w:tcPr>
            <w:tcW w:w="1004" w:type="dxa"/>
            <w:shd w:val="clear" w:color="000000" w:fill="E9E48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6.37%</w:t>
            </w:r>
          </w:p>
        </w:tc>
        <w:tc>
          <w:tcPr>
            <w:tcW w:w="1251" w:type="dxa"/>
            <w:shd w:val="clear" w:color="000000" w:fill="D0DD81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5.50%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Jul</w:t>
            </w:r>
          </w:p>
        </w:tc>
        <w:tc>
          <w:tcPr>
            <w:tcW w:w="1378" w:type="dxa"/>
            <w:shd w:val="clear" w:color="000000" w:fill="AED37F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4.33%</w:t>
            </w:r>
          </w:p>
        </w:tc>
        <w:tc>
          <w:tcPr>
            <w:tcW w:w="1350" w:type="dxa"/>
            <w:shd w:val="clear" w:color="000000" w:fill="C6DA80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5.14%</w:t>
            </w:r>
          </w:p>
        </w:tc>
        <w:tc>
          <w:tcPr>
            <w:tcW w:w="1350" w:type="dxa"/>
            <w:shd w:val="clear" w:color="000000" w:fill="FB9F76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12.92%</w:t>
            </w:r>
          </w:p>
        </w:tc>
        <w:tc>
          <w:tcPr>
            <w:tcW w:w="1170" w:type="dxa"/>
            <w:shd w:val="clear" w:color="000000" w:fill="C3D980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5.06%</w:t>
            </w:r>
          </w:p>
        </w:tc>
        <w:tc>
          <w:tcPr>
            <w:tcW w:w="1004" w:type="dxa"/>
            <w:shd w:val="clear" w:color="000000" w:fill="F2E783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6.69%</w:t>
            </w:r>
          </w:p>
        </w:tc>
        <w:tc>
          <w:tcPr>
            <w:tcW w:w="1251" w:type="dxa"/>
            <w:shd w:val="clear" w:color="000000" w:fill="D5DF81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5.69%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Aug</w:t>
            </w:r>
          </w:p>
        </w:tc>
        <w:tc>
          <w:tcPr>
            <w:tcW w:w="1378" w:type="dxa"/>
            <w:shd w:val="clear" w:color="000000" w:fill="7CC57C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2.59%</w:t>
            </w:r>
          </w:p>
        </w:tc>
        <w:tc>
          <w:tcPr>
            <w:tcW w:w="1350" w:type="dxa"/>
            <w:shd w:val="clear" w:color="000000" w:fill="71C27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2.22%</w:t>
            </w:r>
          </w:p>
        </w:tc>
        <w:tc>
          <w:tcPr>
            <w:tcW w:w="1350" w:type="dxa"/>
            <w:shd w:val="clear" w:color="000000" w:fill="FFE383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7.73%</w:t>
            </w:r>
          </w:p>
        </w:tc>
        <w:tc>
          <w:tcPr>
            <w:tcW w:w="1170" w:type="dxa"/>
            <w:shd w:val="clear" w:color="000000" w:fill="82C67C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2.78%</w:t>
            </w:r>
          </w:p>
        </w:tc>
        <w:tc>
          <w:tcPr>
            <w:tcW w:w="1004" w:type="dxa"/>
            <w:shd w:val="clear" w:color="000000" w:fill="83C77C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2.83%</w:t>
            </w:r>
          </w:p>
        </w:tc>
        <w:tc>
          <w:tcPr>
            <w:tcW w:w="1251" w:type="dxa"/>
            <w:shd w:val="clear" w:color="000000" w:fill="85C77C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2.90%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Sep</w:t>
            </w:r>
          </w:p>
        </w:tc>
        <w:tc>
          <w:tcPr>
            <w:tcW w:w="1378" w:type="dxa"/>
            <w:shd w:val="clear" w:color="000000" w:fill="63BE7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1.73%</w:t>
            </w:r>
          </w:p>
        </w:tc>
        <w:tc>
          <w:tcPr>
            <w:tcW w:w="1350" w:type="dxa"/>
            <w:shd w:val="clear" w:color="000000" w:fill="63BE7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1.71%</w:t>
            </w:r>
          </w:p>
        </w:tc>
        <w:tc>
          <w:tcPr>
            <w:tcW w:w="1350" w:type="dxa"/>
            <w:shd w:val="clear" w:color="000000" w:fill="D3DE81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5.59%</w:t>
            </w:r>
          </w:p>
        </w:tc>
        <w:tc>
          <w:tcPr>
            <w:tcW w:w="1170" w:type="dxa"/>
            <w:shd w:val="clear" w:color="000000" w:fill="68BF7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1.89%</w:t>
            </w:r>
          </w:p>
        </w:tc>
        <w:tc>
          <w:tcPr>
            <w:tcW w:w="1004" w:type="dxa"/>
            <w:shd w:val="clear" w:color="000000" w:fill="70C17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2.17%</w:t>
            </w:r>
          </w:p>
        </w:tc>
        <w:tc>
          <w:tcPr>
            <w:tcW w:w="1251" w:type="dxa"/>
            <w:shd w:val="clear" w:color="000000" w:fill="6DC17B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2.08%</w:t>
            </w:r>
          </w:p>
        </w:tc>
      </w:tr>
      <w:tr w:rsidR="002A0B7C" w:rsidRPr="00E22FA1" w:rsidTr="00CC52CD">
        <w:trPr>
          <w:trHeight w:val="283"/>
        </w:trPr>
        <w:tc>
          <w:tcPr>
            <w:tcW w:w="1587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Grand Total</w:t>
            </w:r>
          </w:p>
        </w:tc>
        <w:tc>
          <w:tcPr>
            <w:tcW w:w="1378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5.09%</w:t>
            </w:r>
          </w:p>
        </w:tc>
        <w:tc>
          <w:tcPr>
            <w:tcW w:w="1350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5.38%</w:t>
            </w:r>
          </w:p>
        </w:tc>
        <w:tc>
          <w:tcPr>
            <w:tcW w:w="1350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12.26%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5.29%</w:t>
            </w:r>
          </w:p>
        </w:tc>
        <w:tc>
          <w:tcPr>
            <w:tcW w:w="1004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6.43%</w:t>
            </w:r>
          </w:p>
        </w:tc>
        <w:tc>
          <w:tcPr>
            <w:tcW w:w="1251" w:type="dxa"/>
            <w:shd w:val="clear" w:color="D9E1F2" w:fill="D9E1F2"/>
            <w:noWrap/>
            <w:vAlign w:val="bottom"/>
            <w:hideMark/>
          </w:tcPr>
          <w:p w:rsidR="002A0B7C" w:rsidRPr="00E22FA1" w:rsidRDefault="002A0B7C" w:rsidP="00CC5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5.86%</w:t>
            </w:r>
          </w:p>
        </w:tc>
      </w:tr>
    </w:tbl>
    <w:p w:rsidR="00CC52CD" w:rsidRDefault="00CC52CD" w:rsidP="002A0B7C">
      <w:pPr>
        <w:spacing w:after="0"/>
        <w:rPr>
          <w:sz w:val="24"/>
          <w:szCs w:val="24"/>
        </w:rPr>
      </w:pPr>
    </w:p>
    <w:p w:rsidR="002A0B7C" w:rsidRPr="002A0B7C" w:rsidRDefault="002A0B7C" w:rsidP="002A0B7C">
      <w:pPr>
        <w:spacing w:after="0"/>
        <w:rPr>
          <w:sz w:val="24"/>
          <w:szCs w:val="24"/>
        </w:rPr>
      </w:pPr>
      <w:r w:rsidRPr="002A0B7C">
        <w:rPr>
          <w:sz w:val="24"/>
          <w:szCs w:val="24"/>
        </w:rPr>
        <w:t xml:space="preserve">Discount per Product Amount is </w:t>
      </w:r>
      <w:r w:rsidRPr="002A0B7C">
        <w:rPr>
          <w:b/>
          <w:bCs/>
          <w:sz w:val="24"/>
          <w:szCs w:val="24"/>
        </w:rPr>
        <w:t>markedly less for Late Night Orders</w:t>
      </w:r>
      <w:r w:rsidRPr="002A0B7C">
        <w:rPr>
          <w:sz w:val="24"/>
          <w:szCs w:val="24"/>
        </w:rPr>
        <w:t xml:space="preserve"> with the metric being </w:t>
      </w:r>
      <w:r w:rsidRPr="002A0B7C">
        <w:rPr>
          <w:b/>
          <w:bCs/>
          <w:sz w:val="24"/>
          <w:szCs w:val="24"/>
        </w:rPr>
        <w:t xml:space="preserve">below 4% </w:t>
      </w:r>
      <w:r w:rsidRPr="002A0B7C">
        <w:rPr>
          <w:sz w:val="24"/>
          <w:szCs w:val="24"/>
        </w:rPr>
        <w:t>which is otherwise</w:t>
      </w:r>
      <w:r w:rsidRPr="002A0B7C">
        <w:rPr>
          <w:b/>
          <w:bCs/>
          <w:sz w:val="24"/>
          <w:szCs w:val="24"/>
        </w:rPr>
        <w:t xml:space="preserve"> upwards of 6% </w:t>
      </w:r>
      <w:r w:rsidRPr="002A0B7C">
        <w:rPr>
          <w:sz w:val="24"/>
          <w:szCs w:val="24"/>
        </w:rPr>
        <w:t>across the remaining slots.</w:t>
      </w:r>
    </w:p>
    <w:p w:rsidR="002A0B7C" w:rsidRPr="002A0B7C" w:rsidRDefault="002A0B7C" w:rsidP="002A0B7C">
      <w:pPr>
        <w:spacing w:after="0"/>
        <w:rPr>
          <w:b/>
          <w:bCs/>
          <w:sz w:val="24"/>
          <w:szCs w:val="24"/>
        </w:rPr>
      </w:pPr>
      <w:r w:rsidRPr="002A0B7C">
        <w:rPr>
          <w:sz w:val="24"/>
          <w:szCs w:val="24"/>
        </w:rPr>
        <w:t>Discount per Product Amount has</w:t>
      </w:r>
      <w:r w:rsidRPr="002A0B7C">
        <w:rPr>
          <w:b/>
          <w:bCs/>
          <w:sz w:val="24"/>
          <w:szCs w:val="24"/>
        </w:rPr>
        <w:t xml:space="preserve"> increased in August by nearly 4 times to more than 20% which has likely led to spike in number of orders in the next month. </w:t>
      </w:r>
    </w:p>
    <w:p w:rsidR="002A0B7C" w:rsidRPr="002A0B7C" w:rsidRDefault="002A0B7C" w:rsidP="00A317AC">
      <w:pPr>
        <w:spacing w:after="0"/>
        <w:rPr>
          <w:b/>
          <w:bCs/>
          <w:sz w:val="24"/>
          <w:szCs w:val="24"/>
        </w:rPr>
      </w:pPr>
      <w:r w:rsidRPr="002A0B7C">
        <w:rPr>
          <w:b/>
          <w:bCs/>
          <w:sz w:val="24"/>
          <w:szCs w:val="24"/>
        </w:rPr>
        <w:t>Even with less Discount per Product Amount, the increased number of orders seem to be sustained for September.</w:t>
      </w:r>
    </w:p>
    <w:p w:rsidR="00B16B1C" w:rsidRDefault="00B16B1C" w:rsidP="00A317AC">
      <w:pPr>
        <w:spacing w:after="0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1702"/>
        <w:gridCol w:w="1258"/>
        <w:gridCol w:w="1357"/>
        <w:gridCol w:w="1080"/>
        <w:gridCol w:w="1009"/>
        <w:gridCol w:w="1228"/>
      </w:tblGrid>
      <w:tr w:rsidR="00D96893" w:rsidRPr="00E22FA1" w:rsidTr="00D96893">
        <w:trPr>
          <w:trHeight w:val="360"/>
        </w:trPr>
        <w:tc>
          <w:tcPr>
            <w:tcW w:w="1618" w:type="dxa"/>
            <w:shd w:val="clear" w:color="D9E1F2" w:fill="D9E1F2"/>
            <w:noWrap/>
            <w:vAlign w:val="bottom"/>
            <w:hideMark/>
          </w:tcPr>
          <w:p w:rsidR="00E22FA1" w:rsidRPr="00E22FA1" w:rsidRDefault="00D96893" w:rsidP="008F67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Month</w:t>
            </w:r>
          </w:p>
        </w:tc>
        <w:tc>
          <w:tcPr>
            <w:tcW w:w="1702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8F67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Afternoon</w:t>
            </w:r>
          </w:p>
        </w:tc>
        <w:tc>
          <w:tcPr>
            <w:tcW w:w="1258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8F67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Evening</w:t>
            </w:r>
          </w:p>
        </w:tc>
        <w:tc>
          <w:tcPr>
            <w:tcW w:w="1357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8F67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Late Night</w:t>
            </w:r>
          </w:p>
        </w:tc>
        <w:tc>
          <w:tcPr>
            <w:tcW w:w="1080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8F67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Morning</w:t>
            </w:r>
          </w:p>
        </w:tc>
        <w:tc>
          <w:tcPr>
            <w:tcW w:w="1009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8F67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Night</w:t>
            </w:r>
          </w:p>
        </w:tc>
        <w:tc>
          <w:tcPr>
            <w:tcW w:w="1228" w:type="dxa"/>
            <w:shd w:val="clear" w:color="D9E1F2" w:fill="D9E1F2"/>
            <w:noWrap/>
            <w:vAlign w:val="bottom"/>
            <w:hideMark/>
          </w:tcPr>
          <w:p w:rsidR="00E22FA1" w:rsidRPr="00E22FA1" w:rsidRDefault="00D96893" w:rsidP="008F67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Overall</w:t>
            </w:r>
            <w:r w:rsidR="008F671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 xml:space="preserve"> Discount per Product Amount</w:t>
            </w:r>
          </w:p>
        </w:tc>
      </w:tr>
      <w:tr w:rsidR="00D96893" w:rsidRPr="00E22FA1" w:rsidTr="00D96893">
        <w:trPr>
          <w:trHeight w:val="288"/>
        </w:trPr>
        <w:tc>
          <w:tcPr>
            <w:tcW w:w="1618" w:type="dxa"/>
            <w:shd w:val="clear" w:color="auto" w:fill="auto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Jan</w:t>
            </w:r>
          </w:p>
        </w:tc>
        <w:tc>
          <w:tcPr>
            <w:tcW w:w="1702" w:type="dxa"/>
            <w:shd w:val="clear" w:color="000000" w:fill="A6D17E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1.04%</w:t>
            </w:r>
          </w:p>
        </w:tc>
        <w:tc>
          <w:tcPr>
            <w:tcW w:w="1258" w:type="dxa"/>
            <w:shd w:val="clear" w:color="000000" w:fill="BAD780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1.23%</w:t>
            </w:r>
          </w:p>
        </w:tc>
        <w:tc>
          <w:tcPr>
            <w:tcW w:w="1357" w:type="dxa"/>
            <w:shd w:val="clear" w:color="000000" w:fill="87C87D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0.72%</w:t>
            </w:r>
          </w:p>
        </w:tc>
        <w:tc>
          <w:tcPr>
            <w:tcW w:w="1080" w:type="dxa"/>
            <w:shd w:val="clear" w:color="000000" w:fill="9BCE7E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0.93%</w:t>
            </w:r>
          </w:p>
        </w:tc>
        <w:tc>
          <w:tcPr>
            <w:tcW w:w="1009" w:type="dxa"/>
            <w:shd w:val="clear" w:color="000000" w:fill="A2D07E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1.00%</w:t>
            </w:r>
          </w:p>
        </w:tc>
        <w:tc>
          <w:tcPr>
            <w:tcW w:w="1228" w:type="dxa"/>
            <w:shd w:val="clear" w:color="000000" w:fill="A4D17E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1.02%</w:t>
            </w:r>
          </w:p>
        </w:tc>
      </w:tr>
      <w:tr w:rsidR="00D96893" w:rsidRPr="00E22FA1" w:rsidTr="00D96893">
        <w:trPr>
          <w:trHeight w:val="288"/>
        </w:trPr>
        <w:tc>
          <w:tcPr>
            <w:tcW w:w="1618" w:type="dxa"/>
            <w:shd w:val="clear" w:color="auto" w:fill="auto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Feb</w:t>
            </w:r>
          </w:p>
        </w:tc>
        <w:tc>
          <w:tcPr>
            <w:tcW w:w="1702" w:type="dxa"/>
            <w:shd w:val="clear" w:color="000000" w:fill="63BE7B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0.37%</w:t>
            </w:r>
          </w:p>
        </w:tc>
        <w:tc>
          <w:tcPr>
            <w:tcW w:w="1258" w:type="dxa"/>
            <w:shd w:val="clear" w:color="000000" w:fill="69BF7B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0.43%</w:t>
            </w:r>
          </w:p>
        </w:tc>
        <w:tc>
          <w:tcPr>
            <w:tcW w:w="1357" w:type="dxa"/>
            <w:shd w:val="clear" w:color="000000" w:fill="79C4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0.59%</w:t>
            </w:r>
          </w:p>
        </w:tc>
        <w:tc>
          <w:tcPr>
            <w:tcW w:w="1080" w:type="dxa"/>
            <w:shd w:val="clear" w:color="000000" w:fill="B0D47F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1.13%</w:t>
            </w:r>
          </w:p>
        </w:tc>
        <w:tc>
          <w:tcPr>
            <w:tcW w:w="1009" w:type="dxa"/>
            <w:shd w:val="clear" w:color="000000" w:fill="8ECA7D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0.80%</w:t>
            </w:r>
          </w:p>
        </w:tc>
        <w:tc>
          <w:tcPr>
            <w:tcW w:w="1228" w:type="dxa"/>
            <w:shd w:val="clear" w:color="000000" w:fill="80C6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0.65%</w:t>
            </w:r>
          </w:p>
        </w:tc>
      </w:tr>
      <w:tr w:rsidR="00D96893" w:rsidRPr="00E22FA1" w:rsidTr="00D96893">
        <w:trPr>
          <w:trHeight w:val="288"/>
        </w:trPr>
        <w:tc>
          <w:tcPr>
            <w:tcW w:w="1618" w:type="dxa"/>
            <w:shd w:val="clear" w:color="auto" w:fill="auto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Mar</w:t>
            </w:r>
          </w:p>
        </w:tc>
        <w:tc>
          <w:tcPr>
            <w:tcW w:w="1702" w:type="dxa"/>
            <w:shd w:val="clear" w:color="000000" w:fill="97CD7E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0.89%</w:t>
            </w:r>
          </w:p>
        </w:tc>
        <w:tc>
          <w:tcPr>
            <w:tcW w:w="1258" w:type="dxa"/>
            <w:shd w:val="clear" w:color="000000" w:fill="7AC4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0.60%</w:t>
            </w:r>
          </w:p>
        </w:tc>
        <w:tc>
          <w:tcPr>
            <w:tcW w:w="1357" w:type="dxa"/>
            <w:shd w:val="clear" w:color="000000" w:fill="7DC5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0.63%</w:t>
            </w:r>
          </w:p>
        </w:tc>
        <w:tc>
          <w:tcPr>
            <w:tcW w:w="1080" w:type="dxa"/>
            <w:shd w:val="clear" w:color="000000" w:fill="77C3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0.56%</w:t>
            </w:r>
          </w:p>
        </w:tc>
        <w:tc>
          <w:tcPr>
            <w:tcW w:w="1009" w:type="dxa"/>
            <w:shd w:val="clear" w:color="000000" w:fill="79C4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0.59%</w:t>
            </w:r>
          </w:p>
        </w:tc>
        <w:tc>
          <w:tcPr>
            <w:tcW w:w="1228" w:type="dxa"/>
            <w:shd w:val="clear" w:color="000000" w:fill="81C6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0.67%</w:t>
            </w:r>
          </w:p>
        </w:tc>
      </w:tr>
      <w:tr w:rsidR="00D96893" w:rsidRPr="00E22FA1" w:rsidTr="00D96893">
        <w:trPr>
          <w:trHeight w:val="288"/>
        </w:trPr>
        <w:tc>
          <w:tcPr>
            <w:tcW w:w="1618" w:type="dxa"/>
            <w:shd w:val="clear" w:color="auto" w:fill="auto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Apr</w:t>
            </w:r>
          </w:p>
        </w:tc>
        <w:tc>
          <w:tcPr>
            <w:tcW w:w="1702" w:type="dxa"/>
            <w:shd w:val="clear" w:color="000000" w:fill="A5D17E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1.02%</w:t>
            </w:r>
          </w:p>
        </w:tc>
        <w:tc>
          <w:tcPr>
            <w:tcW w:w="1258" w:type="dxa"/>
            <w:shd w:val="clear" w:color="000000" w:fill="7BC5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0.61%</w:t>
            </w:r>
          </w:p>
        </w:tc>
        <w:tc>
          <w:tcPr>
            <w:tcW w:w="1357" w:type="dxa"/>
            <w:shd w:val="clear" w:color="000000" w:fill="79C4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0.59%</w:t>
            </w:r>
          </w:p>
        </w:tc>
        <w:tc>
          <w:tcPr>
            <w:tcW w:w="1080" w:type="dxa"/>
            <w:shd w:val="clear" w:color="000000" w:fill="82C77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0.68%</w:t>
            </w:r>
          </w:p>
        </w:tc>
        <w:tc>
          <w:tcPr>
            <w:tcW w:w="1009" w:type="dxa"/>
            <w:shd w:val="clear" w:color="000000" w:fill="98CD7E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0.90%</w:t>
            </w:r>
          </w:p>
        </w:tc>
        <w:tc>
          <w:tcPr>
            <w:tcW w:w="1228" w:type="dxa"/>
            <w:shd w:val="clear" w:color="000000" w:fill="8FCA7D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0.81%</w:t>
            </w:r>
          </w:p>
        </w:tc>
      </w:tr>
      <w:tr w:rsidR="00D96893" w:rsidRPr="00E22FA1" w:rsidTr="00D96893">
        <w:trPr>
          <w:trHeight w:val="288"/>
        </w:trPr>
        <w:tc>
          <w:tcPr>
            <w:tcW w:w="1618" w:type="dxa"/>
            <w:shd w:val="clear" w:color="auto" w:fill="auto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May</w:t>
            </w:r>
          </w:p>
        </w:tc>
        <w:tc>
          <w:tcPr>
            <w:tcW w:w="1702" w:type="dxa"/>
            <w:shd w:val="clear" w:color="000000" w:fill="FFD981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4.78%</w:t>
            </w:r>
          </w:p>
        </w:tc>
        <w:tc>
          <w:tcPr>
            <w:tcW w:w="1258" w:type="dxa"/>
            <w:shd w:val="clear" w:color="000000" w:fill="FFDB81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4.54%</w:t>
            </w:r>
          </w:p>
        </w:tc>
        <w:tc>
          <w:tcPr>
            <w:tcW w:w="1357" w:type="dxa"/>
            <w:shd w:val="clear" w:color="000000" w:fill="FFE283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3.39%</w:t>
            </w:r>
          </w:p>
        </w:tc>
        <w:tc>
          <w:tcPr>
            <w:tcW w:w="1080" w:type="dxa"/>
            <w:shd w:val="clear" w:color="000000" w:fill="FFDD82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4.15%</w:t>
            </w:r>
          </w:p>
        </w:tc>
        <w:tc>
          <w:tcPr>
            <w:tcW w:w="1009" w:type="dxa"/>
            <w:shd w:val="clear" w:color="000000" w:fill="FED781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5.07%</w:t>
            </w:r>
          </w:p>
        </w:tc>
        <w:tc>
          <w:tcPr>
            <w:tcW w:w="1228" w:type="dxa"/>
            <w:shd w:val="clear" w:color="000000" w:fill="FFDA81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4.59%</w:t>
            </w:r>
          </w:p>
        </w:tc>
      </w:tr>
      <w:tr w:rsidR="00D96893" w:rsidRPr="00E22FA1" w:rsidTr="00D96893">
        <w:trPr>
          <w:trHeight w:val="288"/>
        </w:trPr>
        <w:tc>
          <w:tcPr>
            <w:tcW w:w="1618" w:type="dxa"/>
            <w:shd w:val="clear" w:color="auto" w:fill="auto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Jun</w:t>
            </w:r>
          </w:p>
        </w:tc>
        <w:tc>
          <w:tcPr>
            <w:tcW w:w="1702" w:type="dxa"/>
            <w:shd w:val="clear" w:color="000000" w:fill="FFE984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2.35%</w:t>
            </w:r>
          </w:p>
        </w:tc>
        <w:tc>
          <w:tcPr>
            <w:tcW w:w="1258" w:type="dxa"/>
            <w:shd w:val="clear" w:color="000000" w:fill="FAE983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1.86%</w:t>
            </w:r>
          </w:p>
        </w:tc>
        <w:tc>
          <w:tcPr>
            <w:tcW w:w="1357" w:type="dxa"/>
            <w:shd w:val="clear" w:color="000000" w:fill="FFEB84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1.93%</w:t>
            </w:r>
          </w:p>
        </w:tc>
        <w:tc>
          <w:tcPr>
            <w:tcW w:w="1080" w:type="dxa"/>
            <w:shd w:val="clear" w:color="000000" w:fill="E9E482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1.70%</w:t>
            </w:r>
          </w:p>
        </w:tc>
        <w:tc>
          <w:tcPr>
            <w:tcW w:w="1009" w:type="dxa"/>
            <w:shd w:val="clear" w:color="000000" w:fill="FCEA83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1.89%</w:t>
            </w:r>
          </w:p>
        </w:tc>
        <w:tc>
          <w:tcPr>
            <w:tcW w:w="1228" w:type="dxa"/>
            <w:shd w:val="clear" w:color="000000" w:fill="FFEB84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1.96%</w:t>
            </w:r>
          </w:p>
        </w:tc>
      </w:tr>
      <w:tr w:rsidR="00D96893" w:rsidRPr="00E22FA1" w:rsidTr="00D96893">
        <w:trPr>
          <w:trHeight w:val="288"/>
        </w:trPr>
        <w:tc>
          <w:tcPr>
            <w:tcW w:w="1618" w:type="dxa"/>
            <w:shd w:val="clear" w:color="auto" w:fill="auto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Jul</w:t>
            </w:r>
          </w:p>
        </w:tc>
        <w:tc>
          <w:tcPr>
            <w:tcW w:w="1702" w:type="dxa"/>
            <w:shd w:val="clear" w:color="000000" w:fill="FED981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4.84%</w:t>
            </w:r>
          </w:p>
        </w:tc>
        <w:tc>
          <w:tcPr>
            <w:tcW w:w="1258" w:type="dxa"/>
            <w:shd w:val="clear" w:color="000000" w:fill="FED280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5.90%</w:t>
            </w:r>
          </w:p>
        </w:tc>
        <w:tc>
          <w:tcPr>
            <w:tcW w:w="1357" w:type="dxa"/>
            <w:shd w:val="clear" w:color="000000" w:fill="FFE383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3.29%</w:t>
            </w:r>
          </w:p>
        </w:tc>
        <w:tc>
          <w:tcPr>
            <w:tcW w:w="1080" w:type="dxa"/>
            <w:shd w:val="clear" w:color="000000" w:fill="FFDA81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4.64%</w:t>
            </w:r>
          </w:p>
        </w:tc>
        <w:tc>
          <w:tcPr>
            <w:tcW w:w="1009" w:type="dxa"/>
            <w:shd w:val="clear" w:color="000000" w:fill="FECC7F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6.74%</w:t>
            </w:r>
          </w:p>
        </w:tc>
        <w:tc>
          <w:tcPr>
            <w:tcW w:w="1228" w:type="dxa"/>
            <w:shd w:val="clear" w:color="000000" w:fill="FED580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5.34%</w:t>
            </w:r>
          </w:p>
        </w:tc>
      </w:tr>
      <w:tr w:rsidR="00D96893" w:rsidRPr="00E22FA1" w:rsidTr="00D96893">
        <w:trPr>
          <w:trHeight w:val="288"/>
        </w:trPr>
        <w:tc>
          <w:tcPr>
            <w:tcW w:w="1618" w:type="dxa"/>
            <w:shd w:val="clear" w:color="auto" w:fill="auto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Aug</w:t>
            </w:r>
          </w:p>
        </w:tc>
        <w:tc>
          <w:tcPr>
            <w:tcW w:w="1702" w:type="dxa"/>
            <w:shd w:val="clear" w:color="000000" w:fill="F96D6C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21.50%</w:t>
            </w:r>
          </w:p>
        </w:tc>
        <w:tc>
          <w:tcPr>
            <w:tcW w:w="1258" w:type="dxa"/>
            <w:shd w:val="clear" w:color="000000" w:fill="F9736D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20.60%</w:t>
            </w:r>
          </w:p>
        </w:tc>
        <w:tc>
          <w:tcPr>
            <w:tcW w:w="1357" w:type="dxa"/>
            <w:shd w:val="clear" w:color="000000" w:fill="FCA677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12.77%</w:t>
            </w:r>
          </w:p>
        </w:tc>
        <w:tc>
          <w:tcPr>
            <w:tcW w:w="1080" w:type="dxa"/>
            <w:shd w:val="clear" w:color="000000" w:fill="F9726D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20.86%</w:t>
            </w:r>
          </w:p>
        </w:tc>
        <w:tc>
          <w:tcPr>
            <w:tcW w:w="1009" w:type="dxa"/>
            <w:shd w:val="clear" w:color="000000" w:fill="F8696B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22.11%</w:t>
            </w:r>
          </w:p>
        </w:tc>
        <w:tc>
          <w:tcPr>
            <w:tcW w:w="1228" w:type="dxa"/>
            <w:shd w:val="clear" w:color="000000" w:fill="F9726D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20.82%</w:t>
            </w:r>
          </w:p>
        </w:tc>
      </w:tr>
      <w:tr w:rsidR="00D96893" w:rsidRPr="00E22FA1" w:rsidTr="00D96893">
        <w:trPr>
          <w:trHeight w:val="288"/>
        </w:trPr>
        <w:tc>
          <w:tcPr>
            <w:tcW w:w="1618" w:type="dxa"/>
            <w:shd w:val="clear" w:color="auto" w:fill="auto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Sep</w:t>
            </w:r>
          </w:p>
        </w:tc>
        <w:tc>
          <w:tcPr>
            <w:tcW w:w="1702" w:type="dxa"/>
            <w:shd w:val="clear" w:color="000000" w:fill="FDB47A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10.46%</w:t>
            </w:r>
          </w:p>
        </w:tc>
        <w:tc>
          <w:tcPr>
            <w:tcW w:w="1258" w:type="dxa"/>
            <w:shd w:val="clear" w:color="000000" w:fill="FCAE79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11.46%</w:t>
            </w:r>
          </w:p>
        </w:tc>
        <w:tc>
          <w:tcPr>
            <w:tcW w:w="1357" w:type="dxa"/>
            <w:shd w:val="clear" w:color="000000" w:fill="FED781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5.10%</w:t>
            </w:r>
          </w:p>
        </w:tc>
        <w:tc>
          <w:tcPr>
            <w:tcW w:w="1080" w:type="dxa"/>
            <w:shd w:val="clear" w:color="000000" w:fill="FCB179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10.96%</w:t>
            </w:r>
          </w:p>
        </w:tc>
        <w:tc>
          <w:tcPr>
            <w:tcW w:w="1009" w:type="dxa"/>
            <w:shd w:val="clear" w:color="000000" w:fill="FDB97B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9.76%</w:t>
            </w:r>
          </w:p>
        </w:tc>
        <w:tc>
          <w:tcPr>
            <w:tcW w:w="1228" w:type="dxa"/>
            <w:shd w:val="clear" w:color="000000" w:fill="FDB57A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10.36%</w:t>
            </w:r>
          </w:p>
        </w:tc>
      </w:tr>
      <w:tr w:rsidR="00D96893" w:rsidRPr="00E22FA1" w:rsidTr="00D96893">
        <w:trPr>
          <w:trHeight w:val="314"/>
        </w:trPr>
        <w:tc>
          <w:tcPr>
            <w:tcW w:w="1618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Grand Total</w:t>
            </w:r>
          </w:p>
        </w:tc>
        <w:tc>
          <w:tcPr>
            <w:tcW w:w="1702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6.37%</w:t>
            </w:r>
          </w:p>
        </w:tc>
        <w:tc>
          <w:tcPr>
            <w:tcW w:w="1258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6.49%</w:t>
            </w:r>
          </w:p>
        </w:tc>
        <w:tc>
          <w:tcPr>
            <w:tcW w:w="1357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3.73%</w:t>
            </w:r>
          </w:p>
        </w:tc>
        <w:tc>
          <w:tcPr>
            <w:tcW w:w="1080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6.45%</w:t>
            </w:r>
          </w:p>
        </w:tc>
        <w:tc>
          <w:tcPr>
            <w:tcW w:w="1009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6.82%</w:t>
            </w:r>
          </w:p>
        </w:tc>
        <w:tc>
          <w:tcPr>
            <w:tcW w:w="1228" w:type="dxa"/>
            <w:shd w:val="clear" w:color="D9E1F2" w:fill="D9E1F2"/>
            <w:noWrap/>
            <w:vAlign w:val="bottom"/>
            <w:hideMark/>
          </w:tcPr>
          <w:p w:rsidR="00E22FA1" w:rsidRPr="00E22FA1" w:rsidRDefault="00E22FA1" w:rsidP="00FD7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E22F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6.37%</w:t>
            </w:r>
          </w:p>
        </w:tc>
      </w:tr>
    </w:tbl>
    <w:p w:rsidR="000B01DB" w:rsidRDefault="000B01DB" w:rsidP="000B01D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Completion Rate</w:t>
      </w:r>
      <w:r w:rsidRPr="00A317AC">
        <w:rPr>
          <w:b/>
          <w:bCs/>
          <w:sz w:val="32"/>
          <w:szCs w:val="32"/>
        </w:rPr>
        <w:t xml:space="preserve"> Analysis</w:t>
      </w:r>
    </w:p>
    <w:p w:rsidR="00A317AC" w:rsidRDefault="00FD79EF" w:rsidP="00FD79EF">
      <w:pPr>
        <w:rPr>
          <w:sz w:val="24"/>
          <w:szCs w:val="24"/>
        </w:rPr>
      </w:pPr>
      <w:r>
        <w:rPr>
          <w:sz w:val="24"/>
          <w:szCs w:val="24"/>
        </w:rPr>
        <w:t xml:space="preserve">Completion Rate for all the slots is </w:t>
      </w:r>
      <w:r w:rsidRPr="00FD79EF">
        <w:rPr>
          <w:b/>
          <w:bCs/>
          <w:sz w:val="24"/>
          <w:szCs w:val="24"/>
        </w:rPr>
        <w:t>more than 99%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except for Saturday nights when it is close to </w:t>
      </w:r>
      <w:r w:rsidRPr="00FD79EF">
        <w:rPr>
          <w:b/>
          <w:bCs/>
          <w:sz w:val="24"/>
          <w:szCs w:val="24"/>
        </w:rPr>
        <w:t>98%</w:t>
      </w:r>
      <w:r>
        <w:rPr>
          <w:sz w:val="24"/>
          <w:szCs w:val="24"/>
        </w:rPr>
        <w:t xml:space="preserve"> though it is not very low.</w:t>
      </w:r>
      <w:r>
        <w:rPr>
          <w:b/>
          <w:bCs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18"/>
        <w:tblOverlap w:val="never"/>
        <w:tblW w:w="8725" w:type="dxa"/>
        <w:tblLook w:val="04A0" w:firstRow="1" w:lastRow="0" w:firstColumn="1" w:lastColumn="0" w:noHBand="0" w:noVBand="1"/>
      </w:tblPr>
      <w:tblGrid>
        <w:gridCol w:w="1157"/>
        <w:gridCol w:w="1123"/>
        <w:gridCol w:w="976"/>
        <w:gridCol w:w="973"/>
        <w:gridCol w:w="1292"/>
        <w:gridCol w:w="1058"/>
        <w:gridCol w:w="875"/>
        <w:gridCol w:w="1271"/>
      </w:tblGrid>
      <w:tr w:rsidR="00FD79EF" w:rsidRPr="000B01DB" w:rsidTr="00DB56AC">
        <w:trPr>
          <w:trHeight w:val="288"/>
        </w:trPr>
        <w:tc>
          <w:tcPr>
            <w:tcW w:w="1157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  <w:t>Slot</w:t>
            </w:r>
          </w:p>
        </w:tc>
        <w:tc>
          <w:tcPr>
            <w:tcW w:w="112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  <w:t>Sunday</w:t>
            </w:r>
          </w:p>
        </w:tc>
        <w:tc>
          <w:tcPr>
            <w:tcW w:w="976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  <w:t>Monday</w:t>
            </w:r>
          </w:p>
        </w:tc>
        <w:tc>
          <w:tcPr>
            <w:tcW w:w="97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  <w:t>Tuesday</w:t>
            </w:r>
          </w:p>
        </w:tc>
        <w:tc>
          <w:tcPr>
            <w:tcW w:w="1292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  <w:t>Wednesday</w:t>
            </w:r>
          </w:p>
        </w:tc>
        <w:tc>
          <w:tcPr>
            <w:tcW w:w="1058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  <w:t>Thursday</w:t>
            </w:r>
          </w:p>
        </w:tc>
        <w:tc>
          <w:tcPr>
            <w:tcW w:w="875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  <w:t>Friday</w:t>
            </w:r>
          </w:p>
        </w:tc>
        <w:tc>
          <w:tcPr>
            <w:tcW w:w="1271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IN"/>
              </w:rPr>
              <w:t>Saturday</w:t>
            </w:r>
          </w:p>
        </w:tc>
      </w:tr>
      <w:tr w:rsidR="00FD79EF" w:rsidRPr="000B01DB" w:rsidTr="00DB56AC">
        <w:trPr>
          <w:trHeight w:val="288"/>
        </w:trPr>
        <w:tc>
          <w:tcPr>
            <w:tcW w:w="1157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Afternoon</w:t>
            </w:r>
          </w:p>
        </w:tc>
        <w:tc>
          <w:tcPr>
            <w:tcW w:w="112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90CB7E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99.90%</w:t>
            </w:r>
          </w:p>
        </w:tc>
        <w:tc>
          <w:tcPr>
            <w:tcW w:w="976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D3DF82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99.74%</w:t>
            </w:r>
          </w:p>
        </w:tc>
        <w:tc>
          <w:tcPr>
            <w:tcW w:w="97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FDD57F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99.35%</w:t>
            </w:r>
          </w:p>
        </w:tc>
        <w:tc>
          <w:tcPr>
            <w:tcW w:w="1292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FDEB84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99.64%</w:t>
            </w:r>
          </w:p>
        </w:tc>
        <w:tc>
          <w:tcPr>
            <w:tcW w:w="1058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99CE7F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99.88%</w:t>
            </w:r>
          </w:p>
        </w:tc>
        <w:tc>
          <w:tcPr>
            <w:tcW w:w="875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C7DB81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99.77%</w:t>
            </w:r>
          </w:p>
        </w:tc>
        <w:tc>
          <w:tcPr>
            <w:tcW w:w="1271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93CC7E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99.89%</w:t>
            </w:r>
          </w:p>
        </w:tc>
      </w:tr>
      <w:tr w:rsidR="00FD79EF" w:rsidRPr="000B01DB" w:rsidTr="00DB56AC">
        <w:trPr>
          <w:trHeight w:val="288"/>
        </w:trPr>
        <w:tc>
          <w:tcPr>
            <w:tcW w:w="1157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Evening</w:t>
            </w:r>
          </w:p>
        </w:tc>
        <w:tc>
          <w:tcPr>
            <w:tcW w:w="112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  <w:tc>
          <w:tcPr>
            <w:tcW w:w="976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A6D27F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99.85%</w:t>
            </w:r>
          </w:p>
        </w:tc>
        <w:tc>
          <w:tcPr>
            <w:tcW w:w="97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E7E483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99.69%</w:t>
            </w:r>
          </w:p>
        </w:tc>
        <w:tc>
          <w:tcPr>
            <w:tcW w:w="1292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EAE583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99.69%</w:t>
            </w:r>
          </w:p>
        </w:tc>
        <w:tc>
          <w:tcPr>
            <w:tcW w:w="1058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A4D17F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99.85%</w:t>
            </w:r>
          </w:p>
        </w:tc>
        <w:tc>
          <w:tcPr>
            <w:tcW w:w="875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FEE683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99.57%</w:t>
            </w:r>
          </w:p>
        </w:tc>
        <w:tc>
          <w:tcPr>
            <w:tcW w:w="1271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FDD17F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99.30%</w:t>
            </w:r>
          </w:p>
        </w:tc>
      </w:tr>
      <w:tr w:rsidR="00FD79EF" w:rsidRPr="000B01DB" w:rsidTr="00DB56AC">
        <w:trPr>
          <w:trHeight w:val="288"/>
        </w:trPr>
        <w:tc>
          <w:tcPr>
            <w:tcW w:w="1157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Late Night</w:t>
            </w:r>
          </w:p>
        </w:tc>
        <w:tc>
          <w:tcPr>
            <w:tcW w:w="112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FEEA83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99.63%</w:t>
            </w:r>
          </w:p>
        </w:tc>
        <w:tc>
          <w:tcPr>
            <w:tcW w:w="976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FCC17B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99.07%</w:t>
            </w:r>
          </w:p>
        </w:tc>
        <w:tc>
          <w:tcPr>
            <w:tcW w:w="97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FCB77A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98.94%</w:t>
            </w:r>
          </w:p>
        </w:tc>
        <w:tc>
          <w:tcPr>
            <w:tcW w:w="1292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63BE7B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  <w:tc>
          <w:tcPr>
            <w:tcW w:w="1058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FEE182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99.51%</w:t>
            </w:r>
          </w:p>
        </w:tc>
        <w:tc>
          <w:tcPr>
            <w:tcW w:w="875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FDC97D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99.19%</w:t>
            </w:r>
          </w:p>
        </w:tc>
        <w:tc>
          <w:tcPr>
            <w:tcW w:w="1271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D9E1F2" w:fill="FDCB7D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99.21%</w:t>
            </w:r>
          </w:p>
        </w:tc>
      </w:tr>
      <w:tr w:rsidR="00FD79EF" w:rsidRPr="000B01DB" w:rsidTr="00DB56AC">
        <w:trPr>
          <w:trHeight w:val="288"/>
        </w:trPr>
        <w:tc>
          <w:tcPr>
            <w:tcW w:w="1157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Morning</w:t>
            </w:r>
          </w:p>
        </w:tc>
        <w:tc>
          <w:tcPr>
            <w:tcW w:w="112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C9DC81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99.76%</w:t>
            </w:r>
          </w:p>
        </w:tc>
        <w:tc>
          <w:tcPr>
            <w:tcW w:w="976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A0D07F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99.86%</w:t>
            </w:r>
          </w:p>
        </w:tc>
        <w:tc>
          <w:tcPr>
            <w:tcW w:w="973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D5DF82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99.74%</w:t>
            </w:r>
          </w:p>
        </w:tc>
        <w:tc>
          <w:tcPr>
            <w:tcW w:w="1292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FEDF81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99.48%</w:t>
            </w:r>
          </w:p>
        </w:tc>
        <w:tc>
          <w:tcPr>
            <w:tcW w:w="1058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FDD680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99.36%</w:t>
            </w:r>
          </w:p>
        </w:tc>
        <w:tc>
          <w:tcPr>
            <w:tcW w:w="875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FBA175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98.65%</w:t>
            </w:r>
          </w:p>
        </w:tc>
        <w:tc>
          <w:tcPr>
            <w:tcW w:w="1271" w:type="dxa"/>
            <w:tcBorders>
              <w:top w:val="single" w:sz="4" w:space="0" w:color="8EA9DB"/>
              <w:left w:val="single" w:sz="4" w:space="0" w:color="70AD47"/>
              <w:bottom w:val="nil"/>
              <w:right w:val="nil"/>
            </w:tcBorders>
            <w:shd w:val="clear" w:color="000000" w:fill="D3DF82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99.74%</w:t>
            </w:r>
          </w:p>
        </w:tc>
      </w:tr>
      <w:tr w:rsidR="00FD79EF" w:rsidRPr="000B01DB" w:rsidTr="00DB56AC">
        <w:trPr>
          <w:trHeight w:val="288"/>
        </w:trPr>
        <w:tc>
          <w:tcPr>
            <w:tcW w:w="11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Night</w:t>
            </w:r>
          </w:p>
        </w:tc>
        <w:tc>
          <w:tcPr>
            <w:tcW w:w="1123" w:type="dxa"/>
            <w:tcBorders>
              <w:top w:val="single" w:sz="4" w:space="0" w:color="8EA9DB"/>
              <w:left w:val="single" w:sz="4" w:space="0" w:color="70AD47"/>
              <w:bottom w:val="single" w:sz="4" w:space="0" w:color="8EA9DB"/>
              <w:right w:val="nil"/>
            </w:tcBorders>
            <w:shd w:val="clear" w:color="D9E1F2" w:fill="9DCF7F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99.87%</w:t>
            </w:r>
          </w:p>
        </w:tc>
        <w:tc>
          <w:tcPr>
            <w:tcW w:w="976" w:type="dxa"/>
            <w:tcBorders>
              <w:top w:val="single" w:sz="4" w:space="0" w:color="8EA9DB"/>
              <w:left w:val="single" w:sz="4" w:space="0" w:color="70AD47"/>
              <w:bottom w:val="single" w:sz="4" w:space="0" w:color="8EA9DB"/>
              <w:right w:val="nil"/>
            </w:tcBorders>
            <w:shd w:val="clear" w:color="D9E1F2" w:fill="DAE182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99.72%</w:t>
            </w:r>
          </w:p>
        </w:tc>
        <w:tc>
          <w:tcPr>
            <w:tcW w:w="973" w:type="dxa"/>
            <w:tcBorders>
              <w:top w:val="single" w:sz="4" w:space="0" w:color="8EA9DB"/>
              <w:left w:val="single" w:sz="4" w:space="0" w:color="70AD47"/>
              <w:bottom w:val="single" w:sz="4" w:space="0" w:color="8EA9DB"/>
              <w:right w:val="nil"/>
            </w:tcBorders>
            <w:shd w:val="clear" w:color="D9E1F2" w:fill="FEE683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99.58%</w:t>
            </w:r>
          </w:p>
        </w:tc>
        <w:tc>
          <w:tcPr>
            <w:tcW w:w="1292" w:type="dxa"/>
            <w:tcBorders>
              <w:top w:val="single" w:sz="4" w:space="0" w:color="8EA9DB"/>
              <w:left w:val="single" w:sz="4" w:space="0" w:color="70AD47"/>
              <w:bottom w:val="single" w:sz="4" w:space="0" w:color="8EA9DB"/>
              <w:right w:val="nil"/>
            </w:tcBorders>
            <w:shd w:val="clear" w:color="D9E1F2" w:fill="FCBB7A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99.00%</w:t>
            </w:r>
          </w:p>
        </w:tc>
        <w:tc>
          <w:tcPr>
            <w:tcW w:w="1058" w:type="dxa"/>
            <w:tcBorders>
              <w:top w:val="single" w:sz="4" w:space="0" w:color="8EA9DB"/>
              <w:left w:val="single" w:sz="4" w:space="0" w:color="70AD47"/>
              <w:bottom w:val="single" w:sz="4" w:space="0" w:color="8EA9DB"/>
              <w:right w:val="nil"/>
            </w:tcBorders>
            <w:shd w:val="clear" w:color="D9E1F2" w:fill="FEE983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99.62%</w:t>
            </w:r>
          </w:p>
        </w:tc>
        <w:tc>
          <w:tcPr>
            <w:tcW w:w="875" w:type="dxa"/>
            <w:tcBorders>
              <w:top w:val="single" w:sz="4" w:space="0" w:color="8EA9DB"/>
              <w:left w:val="single" w:sz="4" w:space="0" w:color="70AD47"/>
              <w:bottom w:val="single" w:sz="4" w:space="0" w:color="8EA9DB"/>
              <w:right w:val="nil"/>
            </w:tcBorders>
            <w:shd w:val="clear" w:color="D9E1F2" w:fill="FDD57F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99.35%</w:t>
            </w:r>
          </w:p>
        </w:tc>
        <w:tc>
          <w:tcPr>
            <w:tcW w:w="1271" w:type="dxa"/>
            <w:tcBorders>
              <w:top w:val="single" w:sz="4" w:space="0" w:color="8EA9DB"/>
              <w:left w:val="single" w:sz="4" w:space="0" w:color="70AD47"/>
              <w:bottom w:val="single" w:sz="4" w:space="0" w:color="8EA9DB"/>
              <w:right w:val="nil"/>
            </w:tcBorders>
            <w:shd w:val="clear" w:color="D9E1F2" w:fill="F8696B"/>
            <w:noWrap/>
            <w:vAlign w:val="bottom"/>
            <w:hideMark/>
          </w:tcPr>
          <w:p w:rsidR="00FD79EF" w:rsidRPr="000B01DB" w:rsidRDefault="00FD79EF" w:rsidP="00FD7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B01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97.89%</w:t>
            </w:r>
          </w:p>
        </w:tc>
      </w:tr>
    </w:tbl>
    <w:p w:rsidR="00A317AC" w:rsidRDefault="00A317AC" w:rsidP="00A317AC">
      <w:pPr>
        <w:spacing w:after="0"/>
        <w:rPr>
          <w:sz w:val="24"/>
          <w:szCs w:val="24"/>
        </w:rPr>
      </w:pPr>
    </w:p>
    <w:p w:rsidR="00D96893" w:rsidRDefault="00D96893" w:rsidP="00A317AC">
      <w:pPr>
        <w:spacing w:after="0"/>
        <w:rPr>
          <w:sz w:val="24"/>
          <w:szCs w:val="24"/>
        </w:rPr>
      </w:pPr>
    </w:p>
    <w:p w:rsidR="00FD79EF" w:rsidRPr="00DB56AC" w:rsidRDefault="00FD79EF" w:rsidP="00A317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metric is drastically lower for </w:t>
      </w:r>
      <w:r>
        <w:rPr>
          <w:b/>
          <w:bCs/>
          <w:sz w:val="24"/>
          <w:szCs w:val="24"/>
        </w:rPr>
        <w:t>Indiranagar</w:t>
      </w:r>
      <w:r w:rsidR="00DB56AC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Vivekanagar</w:t>
      </w:r>
      <w:r w:rsidR="00DB56AC">
        <w:rPr>
          <w:b/>
          <w:bCs/>
          <w:sz w:val="24"/>
          <w:szCs w:val="24"/>
        </w:rPr>
        <w:t>; Domlur,EGL; Marathahalli; Bellandur, ETV.</w:t>
      </w:r>
      <w:r w:rsidR="00DB56AC">
        <w:rPr>
          <w:sz w:val="24"/>
          <w:szCs w:val="24"/>
        </w:rPr>
        <w:t xml:space="preserve"> In Bellandur, ETV, it is abysmally low </w:t>
      </w:r>
      <w:r w:rsidR="00DB56AC" w:rsidRPr="00DB56AC">
        <w:rPr>
          <w:b/>
          <w:bCs/>
          <w:sz w:val="24"/>
          <w:szCs w:val="24"/>
        </w:rPr>
        <w:t>50</w:t>
      </w:r>
      <w:r w:rsidR="00DB56AC">
        <w:rPr>
          <w:b/>
          <w:bCs/>
          <w:sz w:val="24"/>
          <w:szCs w:val="24"/>
        </w:rPr>
        <w:t>%</w:t>
      </w:r>
      <w:r w:rsidR="00DB56AC">
        <w:rPr>
          <w:sz w:val="24"/>
          <w:szCs w:val="24"/>
        </w:rPr>
        <w:t>.</w:t>
      </w:r>
    </w:p>
    <w:p w:rsidR="00FD79EF" w:rsidRDefault="00FD79EF" w:rsidP="00A317AC">
      <w:pPr>
        <w:spacing w:after="0"/>
        <w:rPr>
          <w:sz w:val="24"/>
          <w:szCs w:val="24"/>
        </w:rPr>
      </w:pPr>
    </w:p>
    <w:p w:rsidR="00FD79EF" w:rsidRDefault="00FD79EF" w:rsidP="00FD79EF">
      <w:pPr>
        <w:spacing w:after="0"/>
        <w:jc w:val="center"/>
        <w:rPr>
          <w:sz w:val="24"/>
          <w:szCs w:val="24"/>
        </w:rPr>
      </w:pPr>
    </w:p>
    <w:p w:rsidR="00A317AC" w:rsidRDefault="00FD79EF" w:rsidP="00DB56AC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22D8A8" wp14:editId="39DE56B6">
            <wp:extent cx="4541520" cy="4800600"/>
            <wp:effectExtent l="0" t="0" r="11430" b="0"/>
            <wp:docPr id="16964122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2C2479-B813-5DC4-BA3A-D7C171F687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6719" w:rsidRDefault="008F6719" w:rsidP="00A317AC">
      <w:pPr>
        <w:spacing w:after="0"/>
        <w:rPr>
          <w:sz w:val="24"/>
          <w:szCs w:val="24"/>
        </w:rPr>
      </w:pPr>
    </w:p>
    <w:p w:rsidR="00A317AC" w:rsidRDefault="00DB56AC" w:rsidP="00A317A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Completion Rate for number of products ordered seem to be agnostic for there is not </w:t>
      </w:r>
      <w:r w:rsidR="009E762B">
        <w:rPr>
          <w:sz w:val="24"/>
          <w:szCs w:val="24"/>
        </w:rPr>
        <w:t>any</w:t>
      </w:r>
      <w:r>
        <w:rPr>
          <w:sz w:val="24"/>
          <w:szCs w:val="24"/>
        </w:rPr>
        <w:t xml:space="preserve"> significant difference between the highest completion rate and the lowest completion rate. </w:t>
      </w:r>
    </w:p>
    <w:p w:rsidR="00DB56AC" w:rsidRDefault="00DB56AC" w:rsidP="00A317AC">
      <w:pPr>
        <w:spacing w:after="0"/>
        <w:rPr>
          <w:sz w:val="24"/>
          <w:szCs w:val="24"/>
        </w:rPr>
      </w:pPr>
    </w:p>
    <w:tbl>
      <w:tblPr>
        <w:tblW w:w="4078" w:type="dxa"/>
        <w:jc w:val="center"/>
        <w:tblLook w:val="00A0" w:firstRow="1" w:lastRow="0" w:firstColumn="1" w:lastColumn="0" w:noHBand="0" w:noVBand="0"/>
      </w:tblPr>
      <w:tblGrid>
        <w:gridCol w:w="1849"/>
        <w:gridCol w:w="2229"/>
      </w:tblGrid>
      <w:tr w:rsidR="00DB56AC" w:rsidRPr="00DB56AC" w:rsidTr="00CC52CD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Number of Products ordered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Completion Rate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99.82%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382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99.79%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C81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99.75%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680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99.73%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77D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99.66%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179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99.57%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F78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99.56%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974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99.46%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72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99.41%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71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99.40%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6E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99.33%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D6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99.27%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99.25%</w:t>
            </w:r>
          </w:p>
        </w:tc>
      </w:tr>
      <w:tr w:rsidR="00DB56AC" w:rsidRPr="00DB56AC" w:rsidTr="009E762B">
        <w:trPr>
          <w:trHeight w:val="438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Grand Total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B56AC" w:rsidRPr="00DB56AC" w:rsidRDefault="00DB56AC" w:rsidP="00DB5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DB56A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99.55%</w:t>
            </w:r>
          </w:p>
        </w:tc>
      </w:tr>
    </w:tbl>
    <w:p w:rsidR="009E762B" w:rsidRDefault="009E762B" w:rsidP="00A317AC">
      <w:pPr>
        <w:spacing w:after="0"/>
        <w:rPr>
          <w:sz w:val="24"/>
          <w:szCs w:val="24"/>
        </w:rPr>
      </w:pPr>
    </w:p>
    <w:p w:rsidR="009E762B" w:rsidRDefault="009E762B" w:rsidP="009E762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Customer</w:t>
      </w:r>
      <w:r w:rsidRPr="00A317AC">
        <w:rPr>
          <w:b/>
          <w:bCs/>
          <w:sz w:val="32"/>
          <w:szCs w:val="32"/>
        </w:rPr>
        <w:t xml:space="preserve"> Analysis</w:t>
      </w:r>
    </w:p>
    <w:p w:rsidR="00A317AC" w:rsidRDefault="009E762B" w:rsidP="009E762B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all the acquisition sources, the Completion Rate is more than 99%.</w:t>
      </w:r>
    </w:p>
    <w:p w:rsidR="009E762B" w:rsidRDefault="009E762B" w:rsidP="009E762B">
      <w:pPr>
        <w:spacing w:after="0"/>
        <w:rPr>
          <w:sz w:val="24"/>
          <w:szCs w:val="24"/>
        </w:rPr>
      </w:pPr>
    </w:p>
    <w:tbl>
      <w:tblPr>
        <w:tblW w:w="4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2043"/>
      </w:tblGrid>
      <w:tr w:rsidR="009E762B" w:rsidRPr="009E762B" w:rsidTr="0040417C">
        <w:trPr>
          <w:trHeight w:val="422"/>
          <w:jc w:val="center"/>
        </w:trPr>
        <w:tc>
          <w:tcPr>
            <w:tcW w:w="2101" w:type="dxa"/>
            <w:shd w:val="clear" w:color="D9E1F2" w:fill="D9E1F2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Sources</w:t>
            </w:r>
          </w:p>
        </w:tc>
        <w:tc>
          <w:tcPr>
            <w:tcW w:w="2043" w:type="dxa"/>
            <w:shd w:val="clear" w:color="D9E1F2" w:fill="D9E1F2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Completion Rate</w:t>
            </w:r>
          </w:p>
        </w:tc>
      </w:tr>
      <w:tr w:rsidR="009E762B" w:rsidRPr="009E762B" w:rsidTr="0040417C">
        <w:trPr>
          <w:trHeight w:val="422"/>
          <w:jc w:val="center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Organic</w:t>
            </w:r>
          </w:p>
        </w:tc>
        <w:tc>
          <w:tcPr>
            <w:tcW w:w="2043" w:type="dxa"/>
            <w:shd w:val="clear" w:color="000000" w:fill="C6EFCE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  <w:t>99.63%</w:t>
            </w:r>
          </w:p>
        </w:tc>
      </w:tr>
      <w:tr w:rsidR="009E762B" w:rsidRPr="009E762B" w:rsidTr="0040417C">
        <w:trPr>
          <w:trHeight w:val="422"/>
          <w:jc w:val="center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Facebook</w:t>
            </w:r>
          </w:p>
        </w:tc>
        <w:tc>
          <w:tcPr>
            <w:tcW w:w="2043" w:type="dxa"/>
            <w:shd w:val="clear" w:color="000000" w:fill="C6EFCE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  <w:t>99.58%</w:t>
            </w:r>
          </w:p>
        </w:tc>
      </w:tr>
      <w:tr w:rsidR="009E762B" w:rsidRPr="009E762B" w:rsidTr="0040417C">
        <w:trPr>
          <w:trHeight w:val="422"/>
          <w:jc w:val="center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Snapchat</w:t>
            </w:r>
          </w:p>
        </w:tc>
        <w:tc>
          <w:tcPr>
            <w:tcW w:w="2043" w:type="dxa"/>
            <w:shd w:val="clear" w:color="000000" w:fill="C6EFCE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  <w:t>99.57%</w:t>
            </w:r>
          </w:p>
        </w:tc>
      </w:tr>
      <w:tr w:rsidR="009E762B" w:rsidRPr="009E762B" w:rsidTr="0040417C">
        <w:trPr>
          <w:trHeight w:val="422"/>
          <w:jc w:val="center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Google</w:t>
            </w:r>
          </w:p>
        </w:tc>
        <w:tc>
          <w:tcPr>
            <w:tcW w:w="2043" w:type="dxa"/>
            <w:shd w:val="clear" w:color="000000" w:fill="C6EFCE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  <w:t>99.55%</w:t>
            </w:r>
          </w:p>
        </w:tc>
      </w:tr>
      <w:tr w:rsidR="009E762B" w:rsidRPr="009E762B" w:rsidTr="0040417C">
        <w:trPr>
          <w:trHeight w:val="422"/>
          <w:jc w:val="center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Instagram</w:t>
            </w:r>
          </w:p>
        </w:tc>
        <w:tc>
          <w:tcPr>
            <w:tcW w:w="2043" w:type="dxa"/>
            <w:shd w:val="clear" w:color="000000" w:fill="C6EFCE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  <w:t>99.46%</w:t>
            </w:r>
          </w:p>
        </w:tc>
      </w:tr>
      <w:tr w:rsidR="009E762B" w:rsidRPr="009E762B" w:rsidTr="0040417C">
        <w:trPr>
          <w:trHeight w:val="422"/>
          <w:jc w:val="center"/>
        </w:trPr>
        <w:tc>
          <w:tcPr>
            <w:tcW w:w="2101" w:type="dxa"/>
            <w:shd w:val="clear" w:color="auto" w:fill="auto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Offline Campaign</w:t>
            </w:r>
          </w:p>
        </w:tc>
        <w:tc>
          <w:tcPr>
            <w:tcW w:w="2043" w:type="dxa"/>
            <w:shd w:val="clear" w:color="000000" w:fill="C6EFCE"/>
            <w:noWrap/>
            <w:vAlign w:val="bottom"/>
            <w:hideMark/>
          </w:tcPr>
          <w:p w:rsidR="009E762B" w:rsidRPr="009E762B" w:rsidRDefault="009E762B" w:rsidP="009E7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</w:pPr>
            <w:r w:rsidRPr="009E762B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n-IN"/>
              </w:rPr>
              <w:t>99.44%</w:t>
            </w:r>
          </w:p>
        </w:tc>
      </w:tr>
    </w:tbl>
    <w:p w:rsidR="00A317AC" w:rsidRDefault="00A317AC" w:rsidP="00A317AC">
      <w:pPr>
        <w:spacing w:after="0"/>
        <w:rPr>
          <w:sz w:val="24"/>
          <w:szCs w:val="24"/>
        </w:rPr>
      </w:pPr>
    </w:p>
    <w:p w:rsidR="009E762B" w:rsidRDefault="009E762B" w:rsidP="00A317AC">
      <w:pPr>
        <w:spacing w:after="0"/>
        <w:rPr>
          <w:sz w:val="24"/>
          <w:szCs w:val="24"/>
        </w:rPr>
      </w:pPr>
    </w:p>
    <w:p w:rsidR="009E762B" w:rsidRDefault="00D96893" w:rsidP="00A317A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Aggregated LTV per source</w:t>
      </w:r>
      <w:r>
        <w:rPr>
          <w:sz w:val="24"/>
          <w:szCs w:val="24"/>
        </w:rPr>
        <w:t xml:space="preserve"> is highest for </w:t>
      </w:r>
      <w:r w:rsidRPr="00D96893">
        <w:rPr>
          <w:b/>
          <w:bCs/>
          <w:sz w:val="24"/>
          <w:szCs w:val="24"/>
        </w:rPr>
        <w:t>Organic</w:t>
      </w:r>
      <w:r>
        <w:rPr>
          <w:sz w:val="24"/>
          <w:szCs w:val="24"/>
        </w:rPr>
        <w:t xml:space="preserve"> followed by </w:t>
      </w:r>
      <w:r>
        <w:rPr>
          <w:b/>
          <w:bCs/>
          <w:sz w:val="24"/>
          <w:szCs w:val="24"/>
        </w:rPr>
        <w:t>Google Search</w:t>
      </w:r>
      <w:r>
        <w:rPr>
          <w:sz w:val="24"/>
          <w:szCs w:val="24"/>
        </w:rPr>
        <w:t>.</w:t>
      </w:r>
    </w:p>
    <w:p w:rsidR="00D96893" w:rsidRDefault="00D96893" w:rsidP="00A317AC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other sources</w:t>
      </w:r>
      <w:r w:rsidR="00CD099E">
        <w:rPr>
          <w:sz w:val="24"/>
          <w:szCs w:val="24"/>
        </w:rPr>
        <w:t>’ Aggregate LTVs are quite lesser than those of the former.</w:t>
      </w:r>
    </w:p>
    <w:p w:rsidR="00D96893" w:rsidRDefault="00D96893" w:rsidP="00A317AC">
      <w:pPr>
        <w:spacing w:after="0"/>
        <w:rPr>
          <w:sz w:val="24"/>
          <w:szCs w:val="24"/>
        </w:rPr>
      </w:pPr>
    </w:p>
    <w:p w:rsidR="0040417C" w:rsidRDefault="0040417C" w:rsidP="00A317AC">
      <w:pPr>
        <w:spacing w:after="0"/>
        <w:rPr>
          <w:sz w:val="24"/>
          <w:szCs w:val="24"/>
        </w:rPr>
      </w:pPr>
    </w:p>
    <w:p w:rsidR="00D96893" w:rsidRDefault="00D96893" w:rsidP="00D96893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007D4F" wp14:editId="07435268">
            <wp:extent cx="5043055" cy="4053840"/>
            <wp:effectExtent l="0" t="0" r="5715" b="3810"/>
            <wp:docPr id="13621349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93DFC6-50D2-39E4-3388-1CB49AC7B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96893" w:rsidRDefault="00D96893" w:rsidP="00D96893">
      <w:pPr>
        <w:spacing w:after="0"/>
        <w:rPr>
          <w:sz w:val="24"/>
          <w:szCs w:val="24"/>
        </w:rPr>
      </w:pPr>
    </w:p>
    <w:p w:rsidR="00D96893" w:rsidRDefault="00D96893" w:rsidP="00D96893">
      <w:pPr>
        <w:spacing w:after="0"/>
        <w:rPr>
          <w:sz w:val="24"/>
          <w:szCs w:val="24"/>
        </w:rPr>
      </w:pPr>
    </w:p>
    <w:p w:rsidR="0040417C" w:rsidRDefault="0040417C" w:rsidP="00D9689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Aggregated LTV</w:t>
      </w:r>
      <w:r>
        <w:rPr>
          <w:sz w:val="24"/>
          <w:szCs w:val="24"/>
        </w:rPr>
        <w:t xml:space="preserve"> is highest for month of </w:t>
      </w:r>
      <w:r>
        <w:rPr>
          <w:b/>
          <w:bCs/>
          <w:sz w:val="24"/>
          <w:szCs w:val="24"/>
        </w:rPr>
        <w:t>January</w:t>
      </w:r>
      <w:r>
        <w:rPr>
          <w:sz w:val="24"/>
          <w:szCs w:val="24"/>
        </w:rPr>
        <w:t xml:space="preserve"> which is more than </w:t>
      </w:r>
      <w:r>
        <w:rPr>
          <w:b/>
          <w:bCs/>
          <w:sz w:val="24"/>
          <w:szCs w:val="24"/>
        </w:rPr>
        <w:t>4000.</w:t>
      </w:r>
    </w:p>
    <w:p w:rsidR="0040417C" w:rsidRDefault="0040417C" w:rsidP="00D96893">
      <w:pPr>
        <w:spacing w:after="0"/>
        <w:rPr>
          <w:b/>
          <w:bCs/>
          <w:sz w:val="24"/>
          <w:szCs w:val="24"/>
        </w:rPr>
      </w:pPr>
    </w:p>
    <w:p w:rsidR="0040417C" w:rsidRDefault="0040417C" w:rsidP="0040417C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AF1719" wp14:editId="11BA2A9E">
            <wp:extent cx="4518660" cy="2758440"/>
            <wp:effectExtent l="0" t="0" r="15240" b="3810"/>
            <wp:docPr id="16795080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A0E9D3-EF3A-985F-1B43-43C602660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0417C" w:rsidRDefault="0040417C" w:rsidP="0040417C">
      <w:pPr>
        <w:spacing w:after="0"/>
        <w:rPr>
          <w:b/>
          <w:bCs/>
          <w:sz w:val="24"/>
          <w:szCs w:val="24"/>
        </w:rPr>
      </w:pPr>
    </w:p>
    <w:p w:rsidR="0040417C" w:rsidRDefault="0040417C" w:rsidP="0040417C">
      <w:pPr>
        <w:spacing w:after="0"/>
        <w:rPr>
          <w:b/>
          <w:bCs/>
          <w:sz w:val="24"/>
          <w:szCs w:val="24"/>
        </w:rPr>
      </w:pPr>
    </w:p>
    <w:p w:rsidR="00CC52CD" w:rsidRPr="00CC52CD" w:rsidRDefault="0040417C" w:rsidP="004041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Revenue</w:t>
      </w:r>
      <w:r>
        <w:rPr>
          <w:sz w:val="24"/>
          <w:szCs w:val="24"/>
        </w:rPr>
        <w:t xml:space="preserve"> is highest </w:t>
      </w:r>
      <w:r w:rsidR="00CC52CD">
        <w:rPr>
          <w:sz w:val="24"/>
          <w:szCs w:val="24"/>
        </w:rPr>
        <w:t xml:space="preserve">for </w:t>
      </w:r>
      <w:r w:rsidR="00CC52CD" w:rsidRPr="00CC52CD">
        <w:rPr>
          <w:b/>
          <w:bCs/>
          <w:sz w:val="24"/>
          <w:szCs w:val="24"/>
        </w:rPr>
        <w:t>Snapchat</w:t>
      </w:r>
      <w:r w:rsidR="00CC52CD">
        <w:rPr>
          <w:b/>
          <w:bCs/>
          <w:sz w:val="24"/>
          <w:szCs w:val="24"/>
        </w:rPr>
        <w:t xml:space="preserve"> </w:t>
      </w:r>
      <w:r w:rsidR="00CC52CD">
        <w:rPr>
          <w:sz w:val="24"/>
          <w:szCs w:val="24"/>
        </w:rPr>
        <w:t xml:space="preserve">at </w:t>
      </w:r>
      <w:r w:rsidR="00CC52CD" w:rsidRPr="00CC52CD">
        <w:rPr>
          <w:b/>
          <w:bCs/>
          <w:sz w:val="24"/>
          <w:szCs w:val="24"/>
        </w:rPr>
        <w:t xml:space="preserve">Rs. 325 </w:t>
      </w:r>
      <w:r w:rsidR="00CC52CD">
        <w:rPr>
          <w:sz w:val="24"/>
          <w:szCs w:val="24"/>
        </w:rPr>
        <w:t xml:space="preserve">closely followed by </w:t>
      </w:r>
      <w:r w:rsidR="00CC52CD">
        <w:rPr>
          <w:b/>
          <w:bCs/>
          <w:sz w:val="24"/>
          <w:szCs w:val="24"/>
        </w:rPr>
        <w:t>Google</w:t>
      </w:r>
      <w:r w:rsidR="00CC52CD">
        <w:rPr>
          <w:sz w:val="24"/>
          <w:szCs w:val="24"/>
        </w:rPr>
        <w:t xml:space="preserve"> at </w:t>
      </w:r>
      <w:r w:rsidR="00CC52CD" w:rsidRPr="00CC52CD">
        <w:rPr>
          <w:b/>
          <w:bCs/>
          <w:sz w:val="24"/>
          <w:szCs w:val="24"/>
        </w:rPr>
        <w:t>Rs.</w:t>
      </w:r>
      <w:r w:rsidR="00CC52CD">
        <w:rPr>
          <w:b/>
          <w:bCs/>
          <w:sz w:val="24"/>
          <w:szCs w:val="24"/>
        </w:rPr>
        <w:t xml:space="preserve"> 322.</w:t>
      </w:r>
    </w:p>
    <w:p w:rsidR="0040417C" w:rsidRDefault="0040417C" w:rsidP="0040417C">
      <w:pPr>
        <w:spacing w:after="0"/>
        <w:rPr>
          <w:b/>
          <w:bCs/>
          <w:sz w:val="24"/>
          <w:szCs w:val="24"/>
        </w:rPr>
      </w:pPr>
    </w:p>
    <w:p w:rsidR="0040417C" w:rsidRDefault="0040417C" w:rsidP="0040417C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B920EB" wp14:editId="043E9753">
            <wp:extent cx="4610100" cy="4191000"/>
            <wp:effectExtent l="0" t="0" r="0" b="0"/>
            <wp:docPr id="2536026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5736B2-AE34-E2F3-48E6-B19E26C545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C52CD" w:rsidRDefault="00CC52CD" w:rsidP="0040417C">
      <w:pPr>
        <w:spacing w:after="0"/>
        <w:jc w:val="center"/>
        <w:rPr>
          <w:b/>
          <w:bCs/>
          <w:sz w:val="24"/>
          <w:szCs w:val="24"/>
        </w:rPr>
      </w:pPr>
    </w:p>
    <w:p w:rsidR="00CC52CD" w:rsidRPr="00985615" w:rsidRDefault="00CC52CD" w:rsidP="00CC52C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Average Revenue</w:t>
      </w:r>
      <w:r w:rsidR="002D0F92">
        <w:rPr>
          <w:b/>
          <w:bCs/>
          <w:sz w:val="24"/>
          <w:szCs w:val="24"/>
        </w:rPr>
        <w:t xml:space="preserve"> per Acquisition Month</w:t>
      </w:r>
      <w:r>
        <w:rPr>
          <w:b/>
          <w:bCs/>
          <w:sz w:val="24"/>
          <w:szCs w:val="24"/>
        </w:rPr>
        <w:t>,</w:t>
      </w:r>
      <w:r w:rsidR="00985615">
        <w:rPr>
          <w:sz w:val="24"/>
          <w:szCs w:val="24"/>
        </w:rPr>
        <w:t xml:space="preserve"> as expected, is highest for the month of </w:t>
      </w:r>
      <w:r w:rsidR="00985615">
        <w:rPr>
          <w:b/>
          <w:bCs/>
          <w:sz w:val="24"/>
          <w:szCs w:val="24"/>
        </w:rPr>
        <w:t>January</w:t>
      </w:r>
      <w:r w:rsidR="00985615">
        <w:rPr>
          <w:sz w:val="24"/>
          <w:szCs w:val="24"/>
        </w:rPr>
        <w:t xml:space="preserve">, which is </w:t>
      </w:r>
      <w:r w:rsidR="00985615" w:rsidRPr="00985615">
        <w:rPr>
          <w:b/>
          <w:bCs/>
          <w:sz w:val="24"/>
          <w:szCs w:val="24"/>
        </w:rPr>
        <w:t>encouraging</w:t>
      </w:r>
      <w:r w:rsidR="00985615">
        <w:rPr>
          <w:sz w:val="24"/>
          <w:szCs w:val="24"/>
        </w:rPr>
        <w:t xml:space="preserve"> for the </w:t>
      </w:r>
      <w:r w:rsidR="00FE3E0C">
        <w:rPr>
          <w:sz w:val="24"/>
          <w:szCs w:val="24"/>
        </w:rPr>
        <w:t>store because this shows that most of the customers who did their first order in January have continued to buy the items from the store.</w:t>
      </w:r>
    </w:p>
    <w:p w:rsidR="00CC52CD" w:rsidRDefault="00CC52CD" w:rsidP="00CC52CD">
      <w:pPr>
        <w:spacing w:after="0"/>
        <w:rPr>
          <w:b/>
          <w:bCs/>
          <w:sz w:val="24"/>
          <w:szCs w:val="24"/>
        </w:rPr>
      </w:pPr>
    </w:p>
    <w:p w:rsidR="00CC52CD" w:rsidRDefault="00CC52CD" w:rsidP="00CC52CD">
      <w:pPr>
        <w:spacing w:after="0"/>
        <w:rPr>
          <w:b/>
          <w:bCs/>
          <w:sz w:val="24"/>
          <w:szCs w:val="24"/>
        </w:rPr>
      </w:pPr>
    </w:p>
    <w:p w:rsidR="0040417C" w:rsidRDefault="0040417C" w:rsidP="0040417C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9F005C" wp14:editId="703FEE5E">
            <wp:extent cx="5234940" cy="3703320"/>
            <wp:effectExtent l="0" t="0" r="3810" b="11430"/>
            <wp:docPr id="111462245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B29AA4-A917-7AA7-3066-308D777DFC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85615" w:rsidRDefault="00985615" w:rsidP="00985615">
      <w:pPr>
        <w:spacing w:after="0"/>
        <w:jc w:val="center"/>
        <w:rPr>
          <w:b/>
          <w:bCs/>
          <w:sz w:val="24"/>
          <w:szCs w:val="24"/>
        </w:rPr>
      </w:pPr>
    </w:p>
    <w:p w:rsidR="0040417C" w:rsidRDefault="0040417C" w:rsidP="0040417C">
      <w:pPr>
        <w:spacing w:after="0"/>
        <w:rPr>
          <w:b/>
          <w:bCs/>
          <w:sz w:val="24"/>
          <w:szCs w:val="24"/>
        </w:rPr>
      </w:pPr>
    </w:p>
    <w:p w:rsidR="00985615" w:rsidRDefault="00985615" w:rsidP="0040417C">
      <w:pPr>
        <w:spacing w:after="0"/>
        <w:rPr>
          <w:b/>
          <w:bCs/>
          <w:sz w:val="24"/>
          <w:szCs w:val="24"/>
        </w:rPr>
      </w:pPr>
    </w:p>
    <w:p w:rsidR="00985615" w:rsidRDefault="00985615" w:rsidP="0040417C">
      <w:pPr>
        <w:spacing w:after="0"/>
        <w:rPr>
          <w:b/>
          <w:bCs/>
          <w:sz w:val="24"/>
          <w:szCs w:val="24"/>
        </w:rPr>
      </w:pP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2134"/>
        <w:gridCol w:w="2125"/>
        <w:gridCol w:w="1909"/>
        <w:gridCol w:w="2112"/>
      </w:tblGrid>
      <w:tr w:rsidR="00985615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85615" w:rsidRPr="00985615" w:rsidRDefault="00FE3E0C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Acquisition</w:t>
            </w:r>
            <w:r w:rsidR="00985615" w:rsidRPr="0098561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 xml:space="preserve"> Month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Number of Orders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Sum of Revenue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Average Revenue</w:t>
            </w:r>
          </w:p>
        </w:tc>
      </w:tr>
      <w:tr w:rsidR="00FE3E0C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January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8,456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28,32,595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335</w:t>
            </w:r>
          </w:p>
        </w:tc>
      </w:tr>
      <w:tr w:rsidR="00FE3E0C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February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2,828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4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8,42,200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298</w:t>
            </w:r>
          </w:p>
        </w:tc>
      </w:tr>
      <w:tr w:rsidR="00FE3E0C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March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2,074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6,31,508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304</w:t>
            </w:r>
          </w:p>
        </w:tc>
      </w:tr>
      <w:tr w:rsidR="00FE3E0C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April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E884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2,500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4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7,44,189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298</w:t>
            </w:r>
          </w:p>
        </w:tc>
      </w:tr>
      <w:tr w:rsidR="00FE3E0C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May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2,429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7,56,949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312</w:t>
            </w:r>
          </w:p>
        </w:tc>
      </w:tr>
      <w:tr w:rsidR="00FE3E0C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June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1,254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72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3,61,100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288</w:t>
            </w:r>
          </w:p>
        </w:tc>
      </w:tr>
      <w:tr w:rsidR="00FE3E0C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July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56D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1,077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3,04,177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282</w:t>
            </w:r>
          </w:p>
        </w:tc>
      </w:tr>
      <w:tr w:rsidR="00FE3E0C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August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70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1,231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70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3,18,475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259</w:t>
            </w:r>
          </w:p>
        </w:tc>
      </w:tr>
      <w:tr w:rsidR="00FE3E0C" w:rsidRPr="00985615" w:rsidTr="00FE3E0C">
        <w:trPr>
          <w:trHeight w:val="443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September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974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2,34,547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615" w:rsidRPr="00985615" w:rsidRDefault="00985615" w:rsidP="00FE3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85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241</w:t>
            </w:r>
          </w:p>
        </w:tc>
      </w:tr>
    </w:tbl>
    <w:p w:rsidR="009F5684" w:rsidRDefault="009F5684" w:rsidP="009F56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Delivery</w:t>
      </w:r>
      <w:r w:rsidRPr="00A317AC">
        <w:rPr>
          <w:b/>
          <w:bCs/>
          <w:sz w:val="32"/>
          <w:szCs w:val="32"/>
        </w:rPr>
        <w:t xml:space="preserve"> Analysis</w:t>
      </w:r>
    </w:p>
    <w:p w:rsidR="00D62E83" w:rsidRPr="00C65CFD" w:rsidRDefault="00D62E83" w:rsidP="00D62E83">
      <w:pPr>
        <w:spacing w:after="0"/>
        <w:rPr>
          <w:sz w:val="24"/>
          <w:szCs w:val="24"/>
        </w:rPr>
      </w:pPr>
      <w:r w:rsidRPr="00D62E83">
        <w:rPr>
          <w:b/>
          <w:bCs/>
          <w:sz w:val="24"/>
          <w:szCs w:val="24"/>
        </w:rPr>
        <w:t>Av</w:t>
      </w:r>
      <w:r>
        <w:rPr>
          <w:b/>
          <w:bCs/>
          <w:sz w:val="24"/>
          <w:szCs w:val="24"/>
        </w:rPr>
        <w:t>erage Delivery Time</w:t>
      </w:r>
      <w:r w:rsidR="00C65CFD">
        <w:rPr>
          <w:sz w:val="24"/>
          <w:szCs w:val="24"/>
        </w:rPr>
        <w:t xml:space="preserve"> is lowest for </w:t>
      </w:r>
      <w:r w:rsidR="00C65CFD" w:rsidRPr="00C65CFD">
        <w:rPr>
          <w:b/>
          <w:bCs/>
          <w:sz w:val="24"/>
          <w:szCs w:val="24"/>
        </w:rPr>
        <w:t xml:space="preserve">Late </w:t>
      </w:r>
      <w:r w:rsidR="00C65CFD">
        <w:rPr>
          <w:b/>
          <w:bCs/>
          <w:sz w:val="24"/>
          <w:szCs w:val="24"/>
        </w:rPr>
        <w:t>Night</w:t>
      </w:r>
      <w:r w:rsidR="00C65CFD" w:rsidRPr="00C65CFD">
        <w:rPr>
          <w:sz w:val="24"/>
          <w:szCs w:val="24"/>
        </w:rPr>
        <w:t xml:space="preserve"> orders </w:t>
      </w:r>
      <w:r w:rsidR="00C65CFD">
        <w:rPr>
          <w:sz w:val="24"/>
          <w:szCs w:val="24"/>
        </w:rPr>
        <w:t>which reflects the fact that during late night, there is less traffic as compared to traffic during rest of the day. Consequently, the delivery time improves for Late Night orders.</w:t>
      </w:r>
    </w:p>
    <w:p w:rsidR="00D62E83" w:rsidRPr="00D62E83" w:rsidRDefault="00D62E83" w:rsidP="00D62E83">
      <w:pPr>
        <w:spacing w:after="0"/>
        <w:rPr>
          <w:sz w:val="24"/>
          <w:szCs w:val="24"/>
        </w:rPr>
      </w:pPr>
    </w:p>
    <w:p w:rsidR="00D62E83" w:rsidRDefault="0069409A" w:rsidP="0098561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D4DE34" wp14:editId="4FA30A4A">
            <wp:extent cx="5479473" cy="2507673"/>
            <wp:effectExtent l="0" t="0" r="6985" b="6985"/>
            <wp:docPr id="13242179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E12BB8-4F95-BDDA-803E-D0570432A8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62E83" w:rsidRDefault="00D62E83" w:rsidP="00985615">
      <w:pPr>
        <w:spacing w:after="0"/>
        <w:rPr>
          <w:sz w:val="24"/>
          <w:szCs w:val="24"/>
        </w:rPr>
      </w:pPr>
    </w:p>
    <w:p w:rsidR="00D62E83" w:rsidRPr="008D067A" w:rsidRDefault="00C65CFD" w:rsidP="009856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Pr="00C65CFD">
        <w:rPr>
          <w:b/>
          <w:bCs/>
          <w:sz w:val="24"/>
          <w:szCs w:val="24"/>
        </w:rPr>
        <w:t>spike</w:t>
      </w:r>
      <w:r>
        <w:rPr>
          <w:sz w:val="24"/>
          <w:szCs w:val="24"/>
        </w:rPr>
        <w:t xml:space="preserve"> in the Average Overall Delivery Time in </w:t>
      </w:r>
      <w:r w:rsidRPr="00C65CFD">
        <w:rPr>
          <w:b/>
          <w:bCs/>
          <w:sz w:val="24"/>
          <w:szCs w:val="24"/>
        </w:rPr>
        <w:t>May</w:t>
      </w:r>
      <w:r>
        <w:rPr>
          <w:sz w:val="24"/>
          <w:szCs w:val="24"/>
        </w:rPr>
        <w:t xml:space="preserve"> for both Weekend and Weekday orders. Upon</w:t>
      </w:r>
      <w:r w:rsidR="00CA6B02">
        <w:rPr>
          <w:sz w:val="24"/>
          <w:szCs w:val="24"/>
        </w:rPr>
        <w:t xml:space="preserve"> further drill down in each Slot, except for Late Night Orders, the Average Overall Delivery Time is </w:t>
      </w:r>
      <w:r w:rsidR="008D067A">
        <w:rPr>
          <w:sz w:val="24"/>
          <w:szCs w:val="24"/>
        </w:rPr>
        <w:t xml:space="preserve">approximately </w:t>
      </w:r>
      <w:r w:rsidR="008D067A" w:rsidRPr="008D067A">
        <w:rPr>
          <w:b/>
          <w:bCs/>
          <w:sz w:val="24"/>
          <w:szCs w:val="24"/>
        </w:rPr>
        <w:t>36</w:t>
      </w:r>
      <w:r w:rsidR="008D067A">
        <w:rPr>
          <w:b/>
          <w:bCs/>
          <w:sz w:val="24"/>
          <w:szCs w:val="24"/>
        </w:rPr>
        <w:t xml:space="preserve"> minutes</w:t>
      </w:r>
      <w:r w:rsidR="008D067A">
        <w:rPr>
          <w:sz w:val="24"/>
          <w:szCs w:val="24"/>
        </w:rPr>
        <w:t xml:space="preserve"> for Night Orders and it is </w:t>
      </w:r>
      <w:r w:rsidR="008D067A" w:rsidRPr="008D067A">
        <w:rPr>
          <w:b/>
          <w:bCs/>
          <w:sz w:val="24"/>
          <w:szCs w:val="24"/>
        </w:rPr>
        <w:t>more than 40</w:t>
      </w:r>
      <w:r w:rsidR="008D067A">
        <w:rPr>
          <w:b/>
          <w:bCs/>
          <w:sz w:val="24"/>
          <w:szCs w:val="24"/>
        </w:rPr>
        <w:t xml:space="preserve"> minutes</w:t>
      </w:r>
      <w:r w:rsidR="008D067A">
        <w:rPr>
          <w:sz w:val="24"/>
          <w:szCs w:val="24"/>
        </w:rPr>
        <w:t xml:space="preserve"> for orders of the remaining slots. This may have happened due to some construction happening near the store in HSR Layout which then</w:t>
      </w:r>
      <w:r w:rsidR="00790FC6">
        <w:rPr>
          <w:sz w:val="24"/>
          <w:szCs w:val="24"/>
        </w:rPr>
        <w:t>,</w:t>
      </w:r>
      <w:r w:rsidR="008D067A">
        <w:rPr>
          <w:sz w:val="24"/>
          <w:szCs w:val="24"/>
        </w:rPr>
        <w:t xml:space="preserve"> has been causing traffic and as a result, there is increased delivery time.</w:t>
      </w:r>
    </w:p>
    <w:p w:rsidR="00D62E83" w:rsidRDefault="00D62E83" w:rsidP="00985615">
      <w:pPr>
        <w:spacing w:after="0"/>
        <w:rPr>
          <w:sz w:val="24"/>
          <w:szCs w:val="24"/>
        </w:rPr>
      </w:pPr>
    </w:p>
    <w:p w:rsidR="0040417C" w:rsidRPr="009F5684" w:rsidRDefault="0069409A" w:rsidP="0098561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8E8FF50" wp14:editId="691542E0">
            <wp:extent cx="5562600" cy="3061335"/>
            <wp:effectExtent l="0" t="0" r="0" b="5715"/>
            <wp:docPr id="12010243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DF78EE-B5F4-2062-CF11-B461E1BA09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40417C" w:rsidRPr="009F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1707"/>
    <w:multiLevelType w:val="hybridMultilevel"/>
    <w:tmpl w:val="39D28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1FAF"/>
    <w:multiLevelType w:val="hybridMultilevel"/>
    <w:tmpl w:val="1048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124E7"/>
    <w:multiLevelType w:val="hybridMultilevel"/>
    <w:tmpl w:val="489C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156596">
    <w:abstractNumId w:val="2"/>
  </w:num>
  <w:num w:numId="2" w16cid:durableId="2040664655">
    <w:abstractNumId w:val="1"/>
  </w:num>
  <w:num w:numId="3" w16cid:durableId="129297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E3"/>
    <w:rsid w:val="00031D34"/>
    <w:rsid w:val="000B01DB"/>
    <w:rsid w:val="0011578A"/>
    <w:rsid w:val="001A59B8"/>
    <w:rsid w:val="00215519"/>
    <w:rsid w:val="00276621"/>
    <w:rsid w:val="002A0B7C"/>
    <w:rsid w:val="002D0F92"/>
    <w:rsid w:val="002D5756"/>
    <w:rsid w:val="003A549F"/>
    <w:rsid w:val="003B5C13"/>
    <w:rsid w:val="0040417C"/>
    <w:rsid w:val="004E53C2"/>
    <w:rsid w:val="0069409A"/>
    <w:rsid w:val="00743383"/>
    <w:rsid w:val="00790FC6"/>
    <w:rsid w:val="008D067A"/>
    <w:rsid w:val="008F6719"/>
    <w:rsid w:val="00960CB2"/>
    <w:rsid w:val="00985615"/>
    <w:rsid w:val="009E762B"/>
    <w:rsid w:val="009F5684"/>
    <w:rsid w:val="00A317AC"/>
    <w:rsid w:val="00A40C2C"/>
    <w:rsid w:val="00B16B1C"/>
    <w:rsid w:val="00C1167B"/>
    <w:rsid w:val="00C42E08"/>
    <w:rsid w:val="00C65CFD"/>
    <w:rsid w:val="00CA6B02"/>
    <w:rsid w:val="00CC4DFF"/>
    <w:rsid w:val="00CC52CD"/>
    <w:rsid w:val="00CD099E"/>
    <w:rsid w:val="00D35F90"/>
    <w:rsid w:val="00D62E83"/>
    <w:rsid w:val="00D96893"/>
    <w:rsid w:val="00D96EE3"/>
    <w:rsid w:val="00DB56AC"/>
    <w:rsid w:val="00E1134B"/>
    <w:rsid w:val="00E22FA1"/>
    <w:rsid w:val="00E83FE5"/>
    <w:rsid w:val="00EF6617"/>
    <w:rsid w:val="00FD79E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F98A"/>
  <w15:chartTrackingRefBased/>
  <w15:docId w15:val="{EB60CACC-C3CA-4081-9641-42CC7559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EE3"/>
  </w:style>
  <w:style w:type="paragraph" w:styleId="Heading1">
    <w:name w:val="heading 1"/>
    <w:basedOn w:val="Normal"/>
    <w:next w:val="Normal"/>
    <w:link w:val="Heading1Char"/>
    <w:uiPriority w:val="9"/>
    <w:qFormat/>
    <w:rsid w:val="00D96E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E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E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E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E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E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E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E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6E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6EE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6EE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E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E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96EE3"/>
    <w:rPr>
      <w:b/>
      <w:bCs/>
    </w:rPr>
  </w:style>
  <w:style w:type="character" w:styleId="Emphasis">
    <w:name w:val="Emphasis"/>
    <w:basedOn w:val="DefaultParagraphFont"/>
    <w:uiPriority w:val="20"/>
    <w:qFormat/>
    <w:rsid w:val="00D96EE3"/>
    <w:rPr>
      <w:i/>
      <w:iCs/>
      <w:color w:val="000000" w:themeColor="text1"/>
    </w:rPr>
  </w:style>
  <w:style w:type="paragraph" w:styleId="NoSpacing">
    <w:name w:val="No Spacing"/>
    <w:uiPriority w:val="1"/>
    <w:qFormat/>
    <w:rsid w:val="00D96E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6EE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6EE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E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6E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6E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96E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6EE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96E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6EE3"/>
    <w:pPr>
      <w:outlineLvl w:val="9"/>
    </w:pPr>
  </w:style>
  <w:style w:type="paragraph" w:styleId="ListParagraph">
    <w:name w:val="List Paragraph"/>
    <w:basedOn w:val="Normal"/>
    <w:uiPriority w:val="34"/>
    <w:qFormat/>
    <w:rsid w:val="00A317AC"/>
    <w:pPr>
      <w:ind w:left="720"/>
      <w:contextualSpacing/>
    </w:pPr>
  </w:style>
  <w:style w:type="table" w:styleId="TableGrid">
    <w:name w:val="Table Grid"/>
    <w:basedOn w:val="TableNormal"/>
    <w:uiPriority w:val="39"/>
    <w:rsid w:val="00E2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0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Learning%20Platforms\Skillovilla\Excel%20Capstone\Excel%20CapstoneTransactionData_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Learning%20Platforms\Skillovilla\Excel%20Capstone\Excel%20CapstoneTransactionData_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Learning%20Platforms\Skillovilla\Excel%20Capstone\Excel%20CapstoneTransactionData_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Learning%20Platforms\Skillovilla\Excel%20Capstone\Excel%20CapstoneTransactionData_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Learning%20Platforms\Skillovilla\Excel%20Capstone\Excel%20CapstoneTransactionData_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Learning%20Platforms\Skillovilla\Excel%20Capstone\Excel%20CapstoneTransactionData_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Learning%20Platforms\Skillovilla\Excel%20Capstone\Excel%20CapstoneTransactionData_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Learning%20Platforms\Skillovilla\Excel%20Capstone\Excel%20CapstoneTransactionData_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Learning%20Platforms\Skillovilla\Excel%20Capstone\Excel%20CapstoneTransactionData_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/>
              <a:t>Percentage Orders by Slot and Order Location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38117304172077"/>
          <c:y val="0.16134220743205771"/>
          <c:w val="0.86688307305005941"/>
          <c:h val="0.583120433573091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'Order Level Analysis'!$B$7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Analysis'!$A$8:$A$59</c:f>
              <c:strCache>
                <c:ptCount val="2"/>
                <c:pt idx="0">
                  <c:v>HSR Layout</c:v>
                </c:pt>
                <c:pt idx="1">
                  <c:v>ITI Layout</c:v>
                </c:pt>
              </c:strCache>
            </c:strRef>
          </c:cat>
          <c:val>
            <c:numRef>
              <c:f>'Order Level Analysis'!$B$8:$B$59</c:f>
              <c:numCache>
                <c:formatCode>0%</c:formatCode>
                <c:ptCount val="2"/>
                <c:pt idx="0">
                  <c:v>0.68956785955435518</c:v>
                </c:pt>
                <c:pt idx="1">
                  <c:v>0.17538825118163404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33-401C-8F62-0D37D554655E}"/>
            </c:ext>
          </c:extLst>
        </c:ser>
        <c:ser>
          <c:idx val="1"/>
          <c:order val="1"/>
          <c:tx>
            <c:strRef>
              <c:f>'Order Level Analysis'!$C$7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Analysis'!$A$8:$A$59</c:f>
              <c:strCache>
                <c:ptCount val="2"/>
                <c:pt idx="0">
                  <c:v>HSR Layout</c:v>
                </c:pt>
                <c:pt idx="1">
                  <c:v>ITI Layout</c:v>
                </c:pt>
              </c:strCache>
            </c:strRef>
          </c:cat>
          <c:val>
            <c:numRef>
              <c:f>'Order Level Analysis'!$C$8:$C$59</c:f>
              <c:numCache>
                <c:formatCode>0%</c:formatCode>
                <c:ptCount val="2"/>
                <c:pt idx="0">
                  <c:v>0.6977928692699491</c:v>
                </c:pt>
                <c:pt idx="1">
                  <c:v>0.16065365025466893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33-401C-8F62-0D37D554655E}"/>
            </c:ext>
          </c:extLst>
        </c:ser>
        <c:ser>
          <c:idx val="2"/>
          <c:order val="2"/>
          <c:tx>
            <c:strRef>
              <c:f>'Order Level Analysis'!$D$7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Analysis'!$A$8:$A$59</c:f>
              <c:strCache>
                <c:ptCount val="2"/>
                <c:pt idx="0">
                  <c:v>HSR Layout</c:v>
                </c:pt>
                <c:pt idx="1">
                  <c:v>ITI Layout</c:v>
                </c:pt>
              </c:strCache>
            </c:strRef>
          </c:cat>
          <c:val>
            <c:numRef>
              <c:f>'Order Level Analysis'!$D$8:$D$59</c:f>
              <c:numCache>
                <c:formatCode>0%</c:formatCode>
                <c:ptCount val="2"/>
                <c:pt idx="0">
                  <c:v>0.59974826935179359</c:v>
                </c:pt>
                <c:pt idx="1">
                  <c:v>0.21774701069855254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33-401C-8F62-0D37D554655E}"/>
            </c:ext>
          </c:extLst>
        </c:ser>
        <c:ser>
          <c:idx val="3"/>
          <c:order val="3"/>
          <c:tx>
            <c:strRef>
              <c:f>'Order Level Analysis'!$E$7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Analysis'!$A$8:$A$59</c:f>
              <c:strCache>
                <c:ptCount val="2"/>
                <c:pt idx="0">
                  <c:v>HSR Layout</c:v>
                </c:pt>
                <c:pt idx="1">
                  <c:v>ITI Layout</c:v>
                </c:pt>
              </c:strCache>
            </c:strRef>
          </c:cat>
          <c:val>
            <c:numRef>
              <c:f>'Order Level Analysis'!$E$8:$E$59</c:f>
              <c:numCache>
                <c:formatCode>0%</c:formatCode>
                <c:ptCount val="2"/>
                <c:pt idx="0">
                  <c:v>0.69567637780664315</c:v>
                </c:pt>
                <c:pt idx="1">
                  <c:v>0.16106884394136203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B33-401C-8F62-0D37D554655E}"/>
            </c:ext>
          </c:extLst>
        </c:ser>
        <c:ser>
          <c:idx val="4"/>
          <c:order val="4"/>
          <c:tx>
            <c:strRef>
              <c:f>'Order Level Analysis'!$F$7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4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Analysis'!$A$8:$A$59</c:f>
              <c:strCache>
                <c:ptCount val="2"/>
                <c:pt idx="0">
                  <c:v>HSR Layout</c:v>
                </c:pt>
                <c:pt idx="1">
                  <c:v>ITI Layout</c:v>
                </c:pt>
              </c:strCache>
            </c:strRef>
          </c:cat>
          <c:val>
            <c:numRef>
              <c:f>'Order Level Analysis'!$F$8:$F$59</c:f>
              <c:numCache>
                <c:formatCode>0%</c:formatCode>
                <c:ptCount val="2"/>
                <c:pt idx="0">
                  <c:v>0.68765598003455553</c:v>
                </c:pt>
                <c:pt idx="1">
                  <c:v>0.17968899980802458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B33-401C-8F62-0D37D554655E}"/>
            </c:ext>
          </c:extLst>
        </c:ser>
        <c:ser>
          <c:idx val="5"/>
          <c:order val="5"/>
          <c:tx>
            <c:strRef>
              <c:f>'Order Level Analysis'!$G$7</c:f>
              <c:strCache>
                <c:ptCount val="1"/>
                <c:pt idx="0">
                  <c:v>Total Orders</c:v>
                </c:pt>
              </c:strCache>
            </c:strRef>
          </c:tx>
          <c:spPr>
            <a:solidFill>
              <a:schemeClr val="accent6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Analysis'!$A$8:$A$59</c:f>
              <c:strCache>
                <c:ptCount val="2"/>
                <c:pt idx="0">
                  <c:v>HSR Layout</c:v>
                </c:pt>
                <c:pt idx="1">
                  <c:v>ITI Layout</c:v>
                </c:pt>
              </c:strCache>
            </c:strRef>
          </c:cat>
          <c:val>
            <c:numRef>
              <c:f>'Order Level Analysis'!$G$8:$G$59</c:f>
              <c:numCache>
                <c:formatCode>0%</c:formatCode>
                <c:ptCount val="2"/>
                <c:pt idx="0">
                  <c:v>0.68601849011961613</c:v>
                </c:pt>
                <c:pt idx="1">
                  <c:v>0.17289576304605003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B33-401C-8F62-0D37D554655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032199136"/>
        <c:axId val="1032196256"/>
      </c:barChart>
      <c:catAx>
        <c:axId val="1032199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196256"/>
        <c:crosses val="autoZero"/>
        <c:auto val="1"/>
        <c:lblAlgn val="ctr"/>
        <c:lblOffset val="100"/>
        <c:noMultiLvlLbl val="0"/>
      </c:catAx>
      <c:valAx>
        <c:axId val="10321962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19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/>
              <a:t>Increase</a:t>
            </a:r>
            <a:r>
              <a:rPr lang="en-IN" sz="1200" baseline="0"/>
              <a:t> in Orders</a:t>
            </a:r>
            <a:endParaRPr lang="en-I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Analysis'!$A$71:$A$122</c:f>
              <c:strCache>
                <c:ptCount val="3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</c:strCache>
            </c:strRef>
          </c:cat>
          <c:val>
            <c:numRef>
              <c:f>'Order Level Analysis'!$D$71:$D$122</c:f>
              <c:numCache>
                <c:formatCode>0</c:formatCode>
                <c:ptCount val="3"/>
                <c:pt idx="0">
                  <c:v>1534</c:v>
                </c:pt>
                <c:pt idx="1">
                  <c:v>653</c:v>
                </c:pt>
                <c:pt idx="2">
                  <c:v>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CA-406E-BC72-27D3F5AC5A0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42498080"/>
        <c:axId val="642500000"/>
      </c:barChart>
      <c:catAx>
        <c:axId val="642498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500000"/>
        <c:crosses val="autoZero"/>
        <c:auto val="1"/>
        <c:lblAlgn val="ctr"/>
        <c:lblOffset val="100"/>
        <c:noMultiLvlLbl val="0"/>
      </c:catAx>
      <c:valAx>
        <c:axId val="64250000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" sourceLinked="1"/>
        <c:majorTickMark val="out"/>
        <c:minorTickMark val="none"/>
        <c:tickLblPos val="nextTo"/>
        <c:crossAx val="64249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Analysis'!$B$15</c:f>
              <c:strCache>
                <c:ptCount val="1"/>
                <c:pt idx="0">
                  <c:v>Completion Rate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'Completion Rate Analysis'!$A$16:$A$65</c:f>
              <c:strCache>
                <c:ptCount val="5"/>
                <c:pt idx="0">
                  <c:v>Indiranagar</c:v>
                </c:pt>
                <c:pt idx="1">
                  <c:v>Viveka Nagar</c:v>
                </c:pt>
                <c:pt idx="2">
                  <c:v>Domlur, EGL</c:v>
                </c:pt>
                <c:pt idx="3">
                  <c:v>Marathahalli</c:v>
                </c:pt>
                <c:pt idx="4">
                  <c:v>Bellandur, ETV</c:v>
                </c:pt>
              </c:strCache>
            </c:strRef>
          </c:cat>
          <c:val>
            <c:numRef>
              <c:f>'Completion Rate Analysis'!$B$16:$B$65</c:f>
              <c:numCache>
                <c:formatCode>0.00%</c:formatCode>
                <c:ptCount val="5"/>
                <c:pt idx="0">
                  <c:v>0.875</c:v>
                </c:pt>
                <c:pt idx="1">
                  <c:v>0.8571428571428571</c:v>
                </c:pt>
                <c:pt idx="2">
                  <c:v>0.75</c:v>
                </c:pt>
                <c:pt idx="3">
                  <c:v>0.66666666666666663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BF-49A5-BA4E-588E505E856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36270431"/>
        <c:axId val="136280031"/>
      </c:barChart>
      <c:catAx>
        <c:axId val="13627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80031"/>
        <c:crosses val="autoZero"/>
        <c:auto val="1"/>
        <c:lblAlgn val="ctr"/>
        <c:lblOffset val="100"/>
        <c:noMultiLvlLbl val="0"/>
      </c:catAx>
      <c:valAx>
        <c:axId val="13628003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13627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Aggregated LTV per source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'Customer Level Analysis'!$F$6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Analysis'!$E$7:$E$13</c:f>
              <c:strCache>
                <c:ptCount val="6"/>
                <c:pt idx="0">
                  <c:v>Instagram</c:v>
                </c:pt>
                <c:pt idx="1">
                  <c:v>Facebook</c:v>
                </c:pt>
                <c:pt idx="2">
                  <c:v>Offline Campaign</c:v>
                </c:pt>
                <c:pt idx="3">
                  <c:v>Snapchat</c:v>
                </c:pt>
                <c:pt idx="4">
                  <c:v>Google</c:v>
                </c:pt>
                <c:pt idx="5">
                  <c:v>Organic</c:v>
                </c:pt>
              </c:strCache>
            </c:strRef>
          </c:cat>
          <c:val>
            <c:numRef>
              <c:f>'Customer Level Analysis'!$F$7:$F$13</c:f>
              <c:numCache>
                <c:formatCode>"₹"\ #,##0</c:formatCode>
                <c:ptCount val="6"/>
                <c:pt idx="0">
                  <c:v>1090.7559607293128</c:v>
                </c:pt>
                <c:pt idx="1">
                  <c:v>1130.9549929676512</c:v>
                </c:pt>
                <c:pt idx="2">
                  <c:v>1184.0013550135502</c:v>
                </c:pt>
                <c:pt idx="3">
                  <c:v>1186.2539682539682</c:v>
                </c:pt>
                <c:pt idx="4">
                  <c:v>4024.0911214953271</c:v>
                </c:pt>
                <c:pt idx="5">
                  <c:v>4337.7815845824407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B3-4EB6-8311-5023B03C293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60958704"/>
        <c:axId val="1560949104"/>
      </c:barChart>
      <c:catAx>
        <c:axId val="1560958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949104"/>
        <c:crosses val="autoZero"/>
        <c:auto val="1"/>
        <c:lblAlgn val="ctr"/>
        <c:lblOffset val="100"/>
        <c:noMultiLvlLbl val="0"/>
      </c:catAx>
      <c:valAx>
        <c:axId val="15609491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&quot;₹&quot;\ 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958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Aggregated LTV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6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Analysis'!$I$6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Analysis'!$H$7:$H$16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'Customer Level Analysis'!$I$7:$I$16</c:f>
              <c:numCache>
                <c:formatCode>"₹"\ #,##0</c:formatCode>
                <c:ptCount val="9"/>
                <c:pt idx="0">
                  <c:v>4628.4232026143791</c:v>
                </c:pt>
                <c:pt idx="1">
                  <c:v>2583.435582822086</c:v>
                </c:pt>
                <c:pt idx="2">
                  <c:v>1890.7425149700598</c:v>
                </c:pt>
                <c:pt idx="3">
                  <c:v>1570.0189873417721</c:v>
                </c:pt>
                <c:pt idx="4">
                  <c:v>1289.5212947189098</c:v>
                </c:pt>
                <c:pt idx="5">
                  <c:v>960.37234042553189</c:v>
                </c:pt>
                <c:pt idx="6">
                  <c:v>1202.2806324110672</c:v>
                </c:pt>
                <c:pt idx="7">
                  <c:v>882.20221606648204</c:v>
                </c:pt>
                <c:pt idx="8">
                  <c:v>549.29039812646374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06-4A0A-8AA2-AC40A43B22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702765152"/>
        <c:axId val="1702765632"/>
      </c:barChart>
      <c:catAx>
        <c:axId val="170276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2765632"/>
        <c:crosses val="autoZero"/>
        <c:auto val="1"/>
        <c:lblAlgn val="ctr"/>
        <c:lblOffset val="100"/>
        <c:noMultiLvlLbl val="0"/>
      </c:catAx>
      <c:valAx>
        <c:axId val="170276563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&quot;₹&quot;\ #,##0" sourceLinked="1"/>
        <c:majorTickMark val="none"/>
        <c:minorTickMark val="none"/>
        <c:tickLblPos val="nextTo"/>
        <c:crossAx val="170276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/>
              <a:t>Average Revenue per Source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'Customer Level Analysis'!$F$20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Analysis'!$E$21:$E$27</c:f>
              <c:strCache>
                <c:ptCount val="6"/>
                <c:pt idx="0">
                  <c:v>Instagram</c:v>
                </c:pt>
                <c:pt idx="1">
                  <c:v>Organic</c:v>
                </c:pt>
                <c:pt idx="2">
                  <c:v>Offline Campaign</c:v>
                </c:pt>
                <c:pt idx="3">
                  <c:v>Facebook</c:v>
                </c:pt>
                <c:pt idx="4">
                  <c:v>Google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Analysis'!$F$21:$F$27</c:f>
              <c:numCache>
                <c:formatCode>"₹"\ #,##0</c:formatCode>
                <c:ptCount val="6"/>
                <c:pt idx="0">
                  <c:v>279.3494971264368</c:v>
                </c:pt>
                <c:pt idx="1">
                  <c:v>303.25508982035927</c:v>
                </c:pt>
                <c:pt idx="2">
                  <c:v>305.30852550663872</c:v>
                </c:pt>
                <c:pt idx="3">
                  <c:v>307.14629488158897</c:v>
                </c:pt>
                <c:pt idx="4">
                  <c:v>322.04768137621539</c:v>
                </c:pt>
                <c:pt idx="5">
                  <c:v>324.80205452390362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35-4E30-8C0C-896D96156A8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707113712"/>
        <c:axId val="1707115152"/>
      </c:barChart>
      <c:catAx>
        <c:axId val="1707113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115152"/>
        <c:crosses val="autoZero"/>
        <c:auto val="1"/>
        <c:lblAlgn val="ctr"/>
        <c:lblOffset val="100"/>
        <c:noMultiLvlLbl val="0"/>
      </c:catAx>
      <c:valAx>
        <c:axId val="17071151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&quot;₹&quot;\ 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11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Average Revenue per Acquisition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Analysis'!$K$24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Analysis'!$J$25:$J$34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'Customer Level Analysis'!$K$25:$K$34</c:f>
              <c:numCache>
                <c:formatCode>"₹"\ #,##0</c:formatCode>
                <c:ptCount val="9"/>
                <c:pt idx="0">
                  <c:v>334.98048722800377</c:v>
                </c:pt>
                <c:pt idx="1">
                  <c:v>297.80763790664781</c:v>
                </c:pt>
                <c:pt idx="2">
                  <c:v>304.48794599807138</c:v>
                </c:pt>
                <c:pt idx="3">
                  <c:v>297.67559999999997</c:v>
                </c:pt>
                <c:pt idx="4">
                  <c:v>311.62988884314535</c:v>
                </c:pt>
                <c:pt idx="5">
                  <c:v>287.9585326953748</c:v>
                </c:pt>
                <c:pt idx="6">
                  <c:v>282.42989786443826</c:v>
                </c:pt>
                <c:pt idx="7">
                  <c:v>258.71242891957758</c:v>
                </c:pt>
                <c:pt idx="8">
                  <c:v>240.80800821355237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B9-443D-AE8D-6901022B798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60951024"/>
        <c:axId val="1560946224"/>
      </c:barChart>
      <c:catAx>
        <c:axId val="156095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946224"/>
        <c:crosses val="autoZero"/>
        <c:auto val="1"/>
        <c:lblAlgn val="ctr"/>
        <c:lblOffset val="100"/>
        <c:noMultiLvlLbl val="0"/>
      </c:catAx>
      <c:valAx>
        <c:axId val="15609462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&quot;₹&quot;\ #,##0" sourceLinked="1"/>
        <c:majorTickMark val="none"/>
        <c:minorTickMark val="none"/>
        <c:tickLblPos val="nextTo"/>
        <c:crossAx val="156095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Average Delivery Time per slot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Analysis'!$B$79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'Delivery Analysis'!$A$80:$A$85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Morning</c:v>
                </c:pt>
                <c:pt idx="3">
                  <c:v>Night</c:v>
                </c:pt>
                <c:pt idx="4">
                  <c:v>Late Night</c:v>
                </c:pt>
              </c:strCache>
            </c:strRef>
          </c:cat>
          <c:val>
            <c:numRef>
              <c:f>'Delivery Analysis'!$B$80:$B$85</c:f>
              <c:numCache>
                <c:formatCode>h:mm:ss</c:formatCode>
                <c:ptCount val="5"/>
                <c:pt idx="0">
                  <c:v>1.7858325440143003E-2</c:v>
                </c:pt>
                <c:pt idx="1">
                  <c:v>1.7697771253851507E-2</c:v>
                </c:pt>
                <c:pt idx="2">
                  <c:v>1.7354444581898613E-2</c:v>
                </c:pt>
                <c:pt idx="3">
                  <c:v>1.5518069242692435E-2</c:v>
                </c:pt>
                <c:pt idx="4">
                  <c:v>1.2066216231965158E-2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F2-40B2-9845-BD93DBA533A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624819728"/>
        <c:axId val="1624817328"/>
      </c:barChart>
      <c:catAx>
        <c:axId val="162481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4817328"/>
        <c:crosses val="autoZero"/>
        <c:auto val="1"/>
        <c:lblAlgn val="ctr"/>
        <c:lblOffset val="100"/>
        <c:noMultiLvlLbl val="0"/>
      </c:catAx>
      <c:valAx>
        <c:axId val="16248173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h:mm:ss" sourceLinked="1"/>
        <c:majorTickMark val="none"/>
        <c:minorTickMark val="none"/>
        <c:tickLblPos val="nextTo"/>
        <c:crossAx val="162481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/>
              <a:t>Average Overall Delivery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4329413119520937"/>
          <c:y val="0.20549263728397588"/>
          <c:w val="0.69369550926792289"/>
          <c:h val="0.668975611003170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'Delivery Analysis'!$B$68:$B$69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'Delivery Analysis'!$A$70:$A$72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'Delivery Analysis'!$B$70:$B$72</c:f>
              <c:numCache>
                <c:formatCode>h:mm:ss</c:formatCode>
                <c:ptCount val="2"/>
                <c:pt idx="0">
                  <c:v>1.5595360120267869E-2</c:v>
                </c:pt>
                <c:pt idx="1">
                  <c:v>1.4505285937278277E-2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AA-48F5-B30E-4CE9EC00A28E}"/>
            </c:ext>
          </c:extLst>
        </c:ser>
        <c:ser>
          <c:idx val="1"/>
          <c:order val="1"/>
          <c:tx>
            <c:strRef>
              <c:f>'Delivery Analysis'!$C$68:$C$69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'Delivery Analysis'!$A$70:$A$72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'Delivery Analysis'!$C$70:$C$72</c:f>
              <c:numCache>
                <c:formatCode>h:mm:ss</c:formatCode>
                <c:ptCount val="2"/>
                <c:pt idx="0">
                  <c:v>1.3430668613563885E-2</c:v>
                </c:pt>
                <c:pt idx="1">
                  <c:v>1.3283323158323153E-2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AA-48F5-B30E-4CE9EC00A28E}"/>
            </c:ext>
          </c:extLst>
        </c:ser>
        <c:ser>
          <c:idx val="2"/>
          <c:order val="2"/>
          <c:tx>
            <c:strRef>
              <c:f>'Delivery Analysis'!$D$68:$D$69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'Delivery Analysis'!$A$70:$A$72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'Delivery Analysis'!$D$70:$D$72</c:f>
              <c:numCache>
                <c:formatCode>h:mm:ss</c:formatCode>
                <c:ptCount val="2"/>
                <c:pt idx="0">
                  <c:v>1.393386670999818E-2</c:v>
                </c:pt>
                <c:pt idx="1">
                  <c:v>1.4242341717831914E-2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AA-48F5-B30E-4CE9EC00A28E}"/>
            </c:ext>
          </c:extLst>
        </c:ser>
        <c:ser>
          <c:idx val="3"/>
          <c:order val="3"/>
          <c:tx>
            <c:strRef>
              <c:f>'Delivery Analysis'!$E$68:$E$69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'Delivery Analysis'!$A$70:$A$72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'Delivery Analysis'!$E$70:$E$72</c:f>
              <c:numCache>
                <c:formatCode>h:mm:ss</c:formatCode>
                <c:ptCount val="2"/>
                <c:pt idx="0">
                  <c:v>1.8852023558695325E-2</c:v>
                </c:pt>
                <c:pt idx="1">
                  <c:v>2.0034485325969253E-2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AA-48F5-B30E-4CE9EC00A28E}"/>
            </c:ext>
          </c:extLst>
        </c:ser>
        <c:ser>
          <c:idx val="4"/>
          <c:order val="4"/>
          <c:tx>
            <c:strRef>
              <c:f>'Delivery Analysis'!$F$68:$F$69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'Delivery Analysis'!$A$70:$A$72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'Delivery Analysis'!$F$70:$F$72</c:f>
              <c:numCache>
                <c:formatCode>h:mm:ss</c:formatCode>
                <c:ptCount val="2"/>
                <c:pt idx="0">
                  <c:v>2.9486870815911542E-2</c:v>
                </c:pt>
                <c:pt idx="1">
                  <c:v>3.3678155717921779E-2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AA-48F5-B30E-4CE9EC00A28E}"/>
            </c:ext>
          </c:extLst>
        </c:ser>
        <c:ser>
          <c:idx val="5"/>
          <c:order val="5"/>
          <c:tx>
            <c:strRef>
              <c:f>'Delivery Analysis'!$G$68:$G$69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'Delivery Analysis'!$A$70:$A$72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'Delivery Analysis'!$G$70:$G$72</c:f>
              <c:numCache>
                <c:formatCode>h:mm:ss</c:formatCode>
                <c:ptCount val="2"/>
                <c:pt idx="0">
                  <c:v>1.5896221291123554E-2</c:v>
                </c:pt>
                <c:pt idx="1">
                  <c:v>1.5895552422317303E-2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AA-48F5-B30E-4CE9EC00A28E}"/>
            </c:ext>
          </c:extLst>
        </c:ser>
        <c:ser>
          <c:idx val="6"/>
          <c:order val="6"/>
          <c:tx>
            <c:strRef>
              <c:f>'Delivery Analysis'!$H$68:$H$69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'Delivery Analysis'!$A$70:$A$72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'Delivery Analysis'!$H$70:$H$72</c:f>
              <c:numCache>
                <c:formatCode>h:mm:ss</c:formatCode>
                <c:ptCount val="2"/>
                <c:pt idx="0">
                  <c:v>1.3518531133313165E-2</c:v>
                </c:pt>
                <c:pt idx="1">
                  <c:v>1.4264746227709216E-2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6AA-48F5-B30E-4CE9EC00A28E}"/>
            </c:ext>
          </c:extLst>
        </c:ser>
        <c:ser>
          <c:idx val="7"/>
          <c:order val="7"/>
          <c:tx>
            <c:strRef>
              <c:f>'Delivery Analysis'!$I$68:$I$69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'Delivery Analysis'!$A$70:$A$72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'Delivery Analysis'!$I$70:$I$72</c:f>
              <c:numCache>
                <c:formatCode>h:mm:ss</c:formatCode>
                <c:ptCount val="2"/>
                <c:pt idx="0">
                  <c:v>1.5655451889548585E-2</c:v>
                </c:pt>
                <c:pt idx="1">
                  <c:v>1.5883512306235966E-2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6AA-48F5-B30E-4CE9EC00A28E}"/>
            </c:ext>
          </c:extLst>
        </c:ser>
        <c:ser>
          <c:idx val="8"/>
          <c:order val="8"/>
          <c:tx>
            <c:strRef>
              <c:f>'Delivery Analysis'!$J$68:$J$69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'Delivery Analysis'!$A$70:$A$72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'Delivery Analysis'!$J$70:$J$72</c:f>
              <c:numCache>
                <c:formatCode>h:mm:ss</c:formatCode>
                <c:ptCount val="2"/>
                <c:pt idx="0">
                  <c:v>1.357796858310354E-2</c:v>
                </c:pt>
                <c:pt idx="1">
                  <c:v>1.3625391053583612E-2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6AA-48F5-B30E-4CE9EC00A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1737607935"/>
        <c:axId val="1737606015"/>
      </c:barChart>
      <c:catAx>
        <c:axId val="1737607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606015"/>
        <c:crosses val="autoZero"/>
        <c:auto val="1"/>
        <c:lblAlgn val="ctr"/>
        <c:lblOffset val="100"/>
        <c:noMultiLvlLbl val="0"/>
      </c:catAx>
      <c:valAx>
        <c:axId val="173760601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607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003656307129804"/>
          <c:y val="0.29219373146538502"/>
          <c:w val="0.14168190127970751"/>
          <c:h val="0.5074688107168422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2A9D9-16C9-432D-B92D-7D3A977F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Kaushik</dc:creator>
  <cp:keywords/>
  <dc:description/>
  <cp:lastModifiedBy>Abhishek Kaushik</cp:lastModifiedBy>
  <cp:revision>16</cp:revision>
  <dcterms:created xsi:type="dcterms:W3CDTF">2024-11-21T17:28:00Z</dcterms:created>
  <dcterms:modified xsi:type="dcterms:W3CDTF">2024-11-23T14:14:00Z</dcterms:modified>
</cp:coreProperties>
</file>