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color w:val="2C3E50"/>
          <w:sz w:val="20"/>
          <w:szCs w:val="20"/>
        </w:rPr>
        <w:t xml:space="preserve"> </w:t>
      </w:r>
    </w:p>
    <w:p>
      <w:pPr>
        <w:spacing w:after="40" w:before="40"/>
        <w:jc w:val="left"/>
      </w:pPr>
      <w:r>
        <w:rPr>
          <w:rFonts w:ascii="Arial" w:cs="Arial" w:eastAsia="Arial" w:hAnsi="Arial"/>
          <w:b w:val="false"/>
          <w:bCs w:val="false"/>
          <w:color w:val="2C3E50"/>
          <w:sz w:val="20"/>
          <w:szCs w:val="20"/>
        </w:rPr>
        <w:t xml:space="preserve"> </w:t>
      </w:r>
    </w:p>
    <w:p>
      <w:pPr>
        <w:spacing w:after="120" w:before="0"/>
        <w:jc w:val="center"/>
      </w:pPr>
      <w:r>
        <w:rPr>
          <w:rFonts w:ascii="Arial" w:cs="Arial" w:eastAsia="Arial" w:hAnsi="Arial"/>
          <w:b/>
          <w:bCs/>
          <w:color w:val="1B4F72"/>
          <w:sz w:val="52"/>
          <w:szCs w:val="52"/>
        </w:rPr>
        <w:t xml:space="preserve">TN 2026 ELECTIONS</w:t>
      </w:r>
    </w:p>
    <w:p>
      <w:pPr>
        <w:spacing w:after="80" w:before="0"/>
        <w:jc w:val="center"/>
      </w:pPr>
      <w:r>
        <w:rPr>
          <w:rFonts w:ascii="Arial" w:cs="Arial" w:eastAsia="Arial" w:hAnsi="Arial"/>
          <w:color w:val="555555"/>
          <w:sz w:val="36"/>
          <w:szCs w:val="36"/>
        </w:rPr>
        <w:t xml:space="preserve">Comparative Candidate Analysis</w:t>
      </w:r>
    </w:p>
    <w:p>
      <w:pPr>
        <w:spacing w:after="200" w:before="0"/>
        <w:jc w:val="center"/>
      </w:pPr>
      <w:r>
        <w:rPr>
          <w:rFonts w:ascii="Arial" w:cs="Arial" w:eastAsia="Arial" w:hAnsi="Arial"/>
          <w:b/>
          <w:bCs/>
          <w:sz w:val="44"/>
          <w:szCs w:val="44"/>
        </w:rPr>
        <w:t xml:space="preserve">TVK  vs  DMK</w:t>
      </w:r>
    </w:p>
    <w:p>
      <w:pPr>
        <w:pBdr>
          <w:bottom w:val="single" w:color="1B4F72" w:sz="8" w:space="1"/>
        </w:pBdr>
        <w:spacing w:after="80" w:before="0"/>
        <w:jc w:val="center"/>
      </w:pPr>
      <w:r>
        <w:rPr>
          <w:rFonts w:ascii="Arial" w:cs="Arial" w:eastAsia="Arial" w:hAnsi="Arial"/>
          <w:color w:val="777777"/>
          <w:sz w:val="18"/>
          <w:szCs w:val="18"/>
        </w:rPr>
        <w:t xml:space="preserve">Source: myneta.info  |  Candidates analysed: TVK 88, DMK 62</w:t>
      </w:r>
    </w:p>
    <w:p>
      <w:pPr>
        <w:spacing w:after="40" w:before="40"/>
        <w:jc w:val="left"/>
      </w:pPr>
      <w:r>
        <w:rPr>
          <w:rFonts w:ascii="Arial" w:cs="Arial" w:eastAsia="Arial" w:hAnsi="Arial"/>
          <w:b w:val="false"/>
          <w:bCs w:val="false"/>
          <w:color w:val="2C3E50"/>
          <w:sz w:val="20"/>
          <w:szCs w:val="20"/>
        </w:rPr>
        <w:t xml:space="preserve"> </w:t>
      </w:r>
    </w:p>
    <w:p>
      <w:pPr>
        <w:pStyle w:val="Heading1"/>
        <w:pBdr>
          <w:bottom w:val="single" w:color="1B4F72" w:sz="8" w:space="1"/>
        </w:pBdr>
        <w:spacing w:after="200" w:before="360"/>
      </w:pPr>
      <w:r>
        <w:rPr>
          <w:rFonts w:ascii="Arial" w:cs="Arial" w:eastAsia="Arial" w:hAnsi="Arial"/>
          <w:b/>
          <w:bCs/>
          <w:color w:val="1B4F72"/>
          <w:sz w:val="36"/>
          <w:szCs w:val="36"/>
        </w:rPr>
        <w:t xml:space="preserve">1. Overview</w:t>
      </w:r>
    </w:p>
    <w:p>
      <w:pPr>
        <w:spacing w:after="80" w:before="80"/>
        <w:jc w:val="left"/>
      </w:pPr>
      <w:r>
        <w:rPr>
          <w:rFonts w:ascii="Arial" w:cs="Arial" w:eastAsia="Arial" w:hAnsi="Arial"/>
          <w:b w:val="false"/>
          <w:bCs w:val="false"/>
          <w:color w:val="2C3E50"/>
          <w:sz w:val="20"/>
          <w:szCs w:val="20"/>
        </w:rPr>
        <w:t xml:space="preserve">This report compares candidates fielded by TVK and DMK in the Tamil Nadu 2026 Legislative Assembly elections. The analysis covers criminal background, declared assets and liabilities, income tax compliance, disclosure quality, education profile, and overall transparency risk scores. All data is sourced from candidate affidavits filed with the Election Commission of India and compiled by myneta.info.</w:t>
      </w:r>
    </w:p>
    <w:p>
      <w:pPr>
        <w:spacing w:after="40" w:before="40"/>
        <w:jc w:val="left"/>
      </w:pPr>
      <w:r>
        <w:rPr>
          <w:rFonts w:ascii="Arial" w:cs="Arial" w:eastAsia="Arial" w:hAnsi="Arial"/>
          <w:b w:val="false"/>
          <w:bCs w:val="false"/>
          <w:color w:val="2C3E5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candidates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Districts covered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Constituencies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redflag score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DMK cleaner</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2. Criminal Background</w:t>
      </w:r>
    </w:p>
    <w:p>
      <w:pPr>
        <w:spacing w:after="80" w:before="80"/>
        <w:jc w:val="left"/>
      </w:pPr>
      <w:r>
        <w:rPr>
          <w:rFonts w:ascii="Arial" w:cs="Arial" w:eastAsia="Arial" w:hAnsi="Arial"/>
          <w:b w:val="false"/>
          <w:bCs w:val="false"/>
          <w:color w:val="2C3E50"/>
          <w:sz w:val="20"/>
          <w:szCs w:val="20"/>
        </w:rPr>
        <w:t xml:space="preserve">This section analyses how many candidates from each party have pending or decided criminal cases, including cases involving serious charges (cognizable offences carrying 5+ years), special-act offences (PMLA, Prevention of Corruption Act, NDPS, etc.), and cases before women's courts.</w:t>
      </w:r>
    </w:p>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2.1 Criminal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With criminal cases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37 (42%)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22 (35.5%)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Convicted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Serious crimes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30 (34.1%)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19 (30.6%)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Charges framed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12 (13.6%)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4 (6.5%)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Special-act offences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4 (6.5%)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Women-court cases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cases (cumulative)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70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Max cases (single candidate)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2.2 Top 10 Criminal Records — TVK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20"/>
        <w:gridCol w:w="720"/>
        <w:gridCol w:w="900"/>
        <w:gridCol w:w="242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Constituency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Serious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Convicted</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K.V. Vijay Damu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ROYAPURAM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189(3), 189(5), 287</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Krishna Kumar. 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PADMANABHAPURAM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147, 148, 341, 324, 323, 506; 189(2), 292; 285, 292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Sivan. 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DHARMAPURI</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189(2), 126(2),; 191(2), 191(3), 126(2), 132, 121(1), 296(b), 351(3); 294(b), 323, 324, 506(ii)</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Sengottaiyan.K.A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GOBICHETTIPALAYAM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 290, 291; 143, 341, 269; 189(2), 126(2)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Anand 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THIYAGARAYANAGAR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105, 110, 125b, 223; 189(2), 285,126(2), 132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Karthikeyan 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MADURAI EAST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120b, 420, 467, 468, 471; 147, 148, 294b, 323, 506(i); 399, 402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Nazeer Raja. 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DINDIGUL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143, 283, 341</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Thennarasu.K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SRIPERUMBUDUR (SC)</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126(2), 189(2), 223; 294B, 353</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Thangapandi Sr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MADURAI WEST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126(2),189(2), 270, 285, 292; 147, 294B; 189(3),126(2), 292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Ecr P Saravanan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SHOLINGANALLUR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126(2), 223</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2.3 Top 10 Criminal Records — DMK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720"/>
        <w:gridCol w:w="720"/>
        <w:gridCol w:w="900"/>
        <w:gridCol w:w="242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Constituency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Serious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Convicted</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 Senthilbalaji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COIMBATORE (SOUTH)</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120B, 420, 109; 120B, 420, 465, 468, 471, 109; 143, 147, 148, 149, 353, 307; 143, 188; 143, 270; 143, 341, 286; 143, 341, 286, 269; 153, 189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R.D. Shekar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PERAMBUR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 143, 188; 143, 188, 269; 287, 189(2)</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Selvakumar 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NATHAM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 147, 148, 149, 307, 506(2); 126(2) , 189(2); 126(2), 189(2), 191(2), 292; 143, 151, 153; 143, 188, 341; 143, 283; 143, 341; 229A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Udhayanidhi Stalin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CHEPAUK-THIRUVALLIKENI</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115, 166, 153A, 153B, 295A, 298, 505(1); 120B,153A,153B, 295A, 298; 153, 298, 500, 505; 153A, 153B, 295A, 298, 505; 153A, 295A; 153A, 295A, </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 Periasamy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ATHOOR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120B; 420,120B,109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Thalapathy Murugesan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SULUR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120B, 109, 167, 409, 420; 147, 148, 341, 294b, 353, 506(2), 188; 273, 328,120B</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T.M.Anbarasan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ALANDUR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 171E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M.R.K.Panneerselvam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KURINJIPADI</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Senthilkumar. I.P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DINDIGUL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109</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Thamimun Ansari. 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CHIDAMBARAM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24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 341, 269; 143, 341, 290</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3. Declared Assets &amp; Wealth</w:t>
      </w:r>
    </w:p>
    <w:p>
      <w:pPr>
        <w:spacing w:after="80" w:before="80"/>
        <w:jc w:val="left"/>
      </w:pPr>
      <w:r>
        <w:rPr>
          <w:rFonts w:ascii="Arial" w:cs="Arial" w:eastAsia="Arial" w:hAnsi="Arial"/>
          <w:b w:val="false"/>
          <w:bCs w:val="false"/>
          <w:color w:val="2C3E50"/>
          <w:sz w:val="20"/>
          <w:szCs w:val="20"/>
        </w:rPr>
        <w:t xml:space="preserve">Candidates are required to declare total movable and immovable assets in their affidavits. This section compares wealth levels, the proportion of crorepati candidates (assets ≥ ₹1 crore), and median declared liabilities.</w:t>
      </w:r>
    </w:p>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3.1 Asset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Candidates with declared assets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67 of 88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51 of 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declared assets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₹3.30 Cr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₹7.45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 declared assets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₹27.69 Cr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₹21.39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Highest single candidate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₹648.86 Cr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₹304.03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Crorepati candidates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58 (65.9%)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49 (79%)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liabilities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₹72.51 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₹99.21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 liabilities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₹2.46 Cr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₹4.46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3.2 Wealthiest Candidates — TVK</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800"/>
        <w:gridCol w:w="1800"/>
        <w:gridCol w:w="76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Constituency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Assets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Liabilities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 Joseph Vijay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PERAMBUR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₹648.86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₹7.64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Aadhav Arjuna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VILLIVAKKAM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₹534.90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₹26.27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Kumar. 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VELACHERY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₹117.84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₹1.59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J.Kamatchi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PALLAVARAM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₹107.00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₹47.90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Arunachalam. V. 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PERUNDURAI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₹91.97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₹11.28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Balakrishnan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BHAVANI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₹51.85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₹3.00 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Kanimozhi Santhosh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KAVUNDAMPALAYAM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₹25.53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₹2.05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Gopi. 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PALACODE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₹19.41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₹13.17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R.V. Ranjithkumar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KANCHEEPURAM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₹17.28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₹2.57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Sengottaiyan.K.A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GOBICHETTIPALAYAM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₹15.72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₹59.49 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3.3 Wealthiest Candidates — DMK</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800"/>
        <w:gridCol w:w="1800"/>
        <w:gridCol w:w="76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Constituency</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Assets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Liabilities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Cases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 Mathiazhagan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BARGUR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₹304.03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₹56.20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 Nithyanandhan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POLLACHI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₹170.47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₹26.93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 Aravind Ramesh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SHOLINGANALLUR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₹61.48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₹6.77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Smt.Kavitha Kalyanasundaram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METTUPALAYAM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₹59.28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₹33.02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G.Thalapathi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MADURAI NORTH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₹38.12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₹12.20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S.Senthilnathan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MODAKKURICHI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₹36.79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₹3.39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Thoppu Venkatachalam Alias N.D. Venkatachalam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PERUNDURAI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₹26.59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₹8.23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Sabari Karthikeyan K.V.K.S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KINATHUKADAVU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₹26.25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₹5.94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Saminathan. 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VEDASANDUR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₹25.97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₹9.88 Cr</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R.S.Kiruthika Devi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TAMBARAM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₹24.23 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₹43.66 L</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4. Income Tax &amp; Disclosure Quality</w:t>
      </w:r>
    </w:p>
    <w:p>
      <w:pPr>
        <w:spacing w:after="80" w:before="80"/>
        <w:jc w:val="left"/>
      </w:pPr>
      <w:r>
        <w:rPr>
          <w:rFonts w:ascii="Arial" w:cs="Arial" w:eastAsia="Arial" w:hAnsi="Arial"/>
          <w:b w:val="false"/>
          <w:bCs w:val="false"/>
          <w:color w:val="2C3E50"/>
          <w:sz w:val="20"/>
          <w:szCs w:val="20"/>
        </w:rPr>
        <w:t xml:space="preserve">This section examines transparency in financial disclosure. Candidates who fail to file income tax returns, omit PAN, leave assets undeclared, or have outstanding tax/government dues are assigned disclosure red-flags.</w:t>
      </w:r>
    </w:p>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4.1 ITR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Filed ITR (latest year &gt;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75 (85.2%)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56 (90.3%)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latest-year ITR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₹7.25 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₹16.69 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4.2 Disclosure Red-Flags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Assets not disclosed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21 (23.9%)</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11 (17.7%)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 ITR filed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13 (14.8%)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6 (9.7%)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PAN not given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Outstanding tax dues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 (1.6%)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Unusually high cash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 (1.1%)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0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Govt. dept. dues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Disputed liabilities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 (2.3%)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1 (1.6%)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Voter-constituency mismatch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51 (58%)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31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Large company holdings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1 (1.1%)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1 (1.6%)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Profession not declared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5. Education &amp; Demographics</w:t>
      </w:r>
    </w:p>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5.1 Age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 yrs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 yrs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 age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46.9 yrs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55.8 yrs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Candidates under 40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 (27.3%)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(3.2%)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Candidates over 60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 (11.4%)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 (32.3%)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5.2 Education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80"/>
        <w:gridCol w:w="2700"/>
        <w:gridCol w:w="1980"/>
      </w:tblGrid>
      <w:tr>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 Education Level</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 Count</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 Education Level</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 Count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Graduate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 (22.7%)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Graduate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 (27.4%)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Graduate Professional</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 (20.5%)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Graduate Professional</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 (24.2%)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 (12.5%)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Graduate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 (22.6%)</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Graduate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 (11.4%)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(9.7%)</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Others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(9.1%)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 (8.1%)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(9.1%)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(3.2%)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 (8%)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(1.6%)</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5th Pass</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(3.4%)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Doctorate</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(1.6%)</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6. Composite Redflag Score</w:t>
      </w:r>
    </w:p>
    <w:p>
      <w:pPr>
        <w:spacing w:after="80" w:before="80"/>
        <w:jc w:val="left"/>
      </w:pPr>
      <w:r>
        <w:rPr>
          <w:rFonts w:ascii="Arial" w:cs="Arial" w:eastAsia="Arial" w:hAnsi="Arial"/>
          <w:b w:val="false"/>
          <w:bCs w:val="false"/>
          <w:color w:val="2C3E50"/>
          <w:sz w:val="20"/>
          <w:szCs w:val="20"/>
        </w:rPr>
        <w:t xml:space="preserve">The redflag score is a composite integer score assigned to each candidate based on the number of transparency and accountability flags triggered. A higher score indicates more concerns about a candidate's background or disclosure quality.</w:t>
      </w:r>
    </w:p>
    <w:p>
      <w:pPr>
        <w:spacing w:after="40" w:before="40"/>
        <w:jc w:val="left"/>
      </w:pPr>
      <w:r>
        <w:rPr>
          <w:rFonts w:ascii="Arial" w:cs="Arial" w:eastAsia="Arial" w:hAnsi="Arial"/>
          <w:b w:val="false"/>
          <w:bCs w:val="false"/>
          <w:color w:val="2C3E50"/>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Median score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3.0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Mean score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2.91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2.58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Score = 0 (clean)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1 (1.1%)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0 (0.0%)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Score ≥ 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49 (55.7%)</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27 (43.5%)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r>
        <w:tc>
          <w:tcPr>
            <w:tcW w:type="dxa" w:w="2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Score ≥ 5 (high concern)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 (12.5%)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(12.9%)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55555"/>
                <w:sz w:val="20"/>
                <w:szCs w:val="20"/>
              </w:rPr>
              <w:t xml:space="preserve">—</w:t>
            </w:r>
          </w:p>
        </w:tc>
      </w:tr>
    </w:tbl>
    <w:p>
      <w:pPr>
        <w:spacing w:after="40" w:before="40"/>
        <w:jc w:val="left"/>
      </w:pPr>
      <w:r>
        <w:rPr>
          <w:rFonts w:ascii="Arial" w:cs="Arial" w:eastAsia="Arial" w:hAnsi="Arial"/>
          <w:b w:val="false"/>
          <w:bCs w:val="false"/>
          <w:color w:val="2C3E50"/>
          <w:sz w:val="20"/>
          <w:szCs w:val="20"/>
        </w:rPr>
        <w:t xml:space="preserve"> </w:t>
      </w:r>
    </w:p>
    <w:p>
      <w:pPr>
        <w:pStyle w:val="Heading2"/>
        <w:spacing w:after="120" w:before="280"/>
      </w:pPr>
      <w:r>
        <w:rPr>
          <w:rFonts w:ascii="Arial" w:cs="Arial" w:eastAsia="Arial" w:hAnsi="Arial"/>
          <w:b/>
          <w:bCs/>
          <w:color w:val="2C3E50"/>
          <w:sz w:val="26"/>
          <w:szCs w:val="26"/>
        </w:rPr>
        <w:t xml:space="preserve">6.1 Score Distribution Detail</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72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TVK candidates</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DMK candidates</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 (14.8%)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 (27.4%)</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 (28.4%)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 (29.0%)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 (22.7%)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 (17.7%)</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18 (20.5%)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(12.9%)</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(6.8%)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(9.7%)</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(3.2%)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r>
      <w:tr>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(1.1%)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 (0.0%)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bl>
    <w:p>
      <w:pPr>
        <w:spacing w:after="40" w:before="40"/>
        <w:jc w:val="left"/>
      </w:pPr>
      <w:r>
        <w:rPr>
          <w:rFonts w:ascii="Arial" w:cs="Arial" w:eastAsia="Arial" w:hAnsi="Arial"/>
          <w:b w:val="false"/>
          <w:bCs w:val="false"/>
          <w:color w:val="2C3E50"/>
          <w:sz w:val="20"/>
          <w:szCs w:val="20"/>
        </w:rPr>
        <w:t xml:space="preserve"> </w:t>
      </w:r>
    </w:p>
    <w:p>
      <w:pPr>
        <w:pageBreakBefore/>
      </w:pPr>
      <w:r>
        <w:rPr>
          <w:sz w:val="20"/>
          <w:szCs w:val="20"/>
        </w:rPr>
        <w:t xml:space="preserve"/>
      </w:r>
    </w:p>
    <w:p>
      <w:pPr>
        <w:pStyle w:val="Heading1"/>
        <w:pBdr>
          <w:bottom w:val="single" w:color="1B4F72" w:sz="8" w:space="1"/>
        </w:pBdr>
        <w:spacing w:after="200" w:before="360"/>
      </w:pPr>
      <w:r>
        <w:rPr>
          <w:rFonts w:ascii="Arial" w:cs="Arial" w:eastAsia="Arial" w:hAnsi="Arial"/>
          <w:b/>
          <w:bCs/>
          <w:color w:val="1B4F72"/>
          <w:sz w:val="36"/>
          <w:szCs w:val="36"/>
        </w:rPr>
        <w:t xml:space="preserve">7. Summary &amp; Key Findings</w:t>
      </w:r>
    </w:p>
    <w:p>
      <w:pPr>
        <w:pStyle w:val="ListParagraph"/>
        <w:numPr>
          <w:ilvl w:val="0"/>
          <w:numId w:val="2"/>
        </w:numPr>
        <w:spacing w:after="60" w:before="60"/>
      </w:pPr>
      <w:r>
        <w:rPr>
          <w:rFonts w:ascii="Arial" w:cs="Arial" w:eastAsia="Arial" w:hAnsi="Arial"/>
          <w:color w:val="2C3E50"/>
          <w:sz w:val="20"/>
          <w:szCs w:val="20"/>
        </w:rPr>
        <w:t xml:space="preserve">Candidate pool: TVK fielded 88 candidates across 79 districts; DMK fielded 62.</w:t>
      </w:r>
    </w:p>
    <w:p>
      <w:pPr>
        <w:pStyle w:val="ListParagraph"/>
        <w:numPr>
          <w:ilvl w:val="0"/>
          <w:numId w:val="2"/>
        </w:numPr>
        <w:spacing w:after="60" w:before="60"/>
      </w:pPr>
      <w:r>
        <w:rPr>
          <w:rFonts w:ascii="Arial" w:cs="Arial" w:eastAsia="Arial" w:hAnsi="Arial"/>
          <w:color w:val="2C3E50"/>
          <w:sz w:val="20"/>
          <w:szCs w:val="20"/>
        </w:rPr>
        <w:t xml:space="preserve">Criminal exposure: 42% of TVK candidates have criminal cases vs 35.5% for DMK. Conviction rates are 0% (TVK) and 0% (DMK).</w:t>
      </w:r>
    </w:p>
    <w:p>
      <w:pPr>
        <w:pStyle w:val="ListParagraph"/>
        <w:numPr>
          <w:ilvl w:val="0"/>
          <w:numId w:val="2"/>
        </w:numPr>
        <w:spacing w:after="60" w:before="60"/>
      </w:pPr>
      <w:r>
        <w:rPr>
          <w:rFonts w:ascii="Arial" w:cs="Arial" w:eastAsia="Arial" w:hAnsi="Arial"/>
          <w:color w:val="2C3E50"/>
          <w:sz w:val="20"/>
          <w:szCs w:val="20"/>
        </w:rPr>
        <w:t xml:space="preserve">Serious charges: TVK has 30 candidates with serious charges (34.1%); DMK has 19 (30.6%). Special-act charges: TVK 0, DMK 4.</w:t>
      </w:r>
    </w:p>
    <w:p>
      <w:pPr>
        <w:pStyle w:val="ListParagraph"/>
        <w:numPr>
          <w:ilvl w:val="0"/>
          <w:numId w:val="2"/>
        </w:numPr>
        <w:spacing w:after="60" w:before="60"/>
      </w:pPr>
      <w:r>
        <w:rPr>
          <w:rFonts w:ascii="Arial" w:cs="Arial" w:eastAsia="Arial" w:hAnsi="Arial"/>
          <w:color w:val="2C3E50"/>
          <w:sz w:val="20"/>
          <w:szCs w:val="20"/>
        </w:rPr>
        <w:t xml:space="preserve">Wealth: TVK median declared assets are ₹3.30 Cr vs DMK's ₹7.45 Cr. 65.9% of TVK candidates are crorepatis vs 79% of DMK candidates.</w:t>
      </w:r>
    </w:p>
    <w:p>
      <w:pPr>
        <w:pStyle w:val="ListParagraph"/>
        <w:numPr>
          <w:ilvl w:val="0"/>
          <w:numId w:val="2"/>
        </w:numPr>
        <w:spacing w:after="60" w:before="60"/>
      </w:pPr>
      <w:r>
        <w:rPr>
          <w:rFonts w:ascii="Arial" w:cs="Arial" w:eastAsia="Arial" w:hAnsi="Arial"/>
          <w:color w:val="2C3E50"/>
          <w:sz w:val="20"/>
          <w:szCs w:val="20"/>
        </w:rPr>
        <w:t xml:space="preserve">ITR compliance: 85.2% of TVK candidates filed ITR vs 90.3% for DMK.</w:t>
      </w:r>
    </w:p>
    <w:p>
      <w:pPr>
        <w:pStyle w:val="ListParagraph"/>
        <w:numPr>
          <w:ilvl w:val="0"/>
          <w:numId w:val="2"/>
        </w:numPr>
        <w:spacing w:after="60" w:before="60"/>
      </w:pPr>
      <w:r>
        <w:rPr>
          <w:rFonts w:ascii="Arial" w:cs="Arial" w:eastAsia="Arial" w:hAnsi="Arial"/>
          <w:color w:val="2C3E50"/>
          <w:sz w:val="20"/>
          <w:szCs w:val="20"/>
        </w:rPr>
        <w:t xml:space="preserve">Disclosure: "no ITR" — TVK 14.8%, DMK 9.7%; "no asset disclosure" — TVK 23.9%, DMK 17.7%.</w:t>
      </w:r>
    </w:p>
    <w:p>
      <w:pPr>
        <w:pStyle w:val="ListParagraph"/>
        <w:numPr>
          <w:ilvl w:val="0"/>
          <w:numId w:val="2"/>
        </w:numPr>
        <w:spacing w:after="60" w:before="60"/>
      </w:pPr>
      <w:r>
        <w:rPr>
          <w:rFonts w:ascii="Arial" w:cs="Arial" w:eastAsia="Arial" w:hAnsi="Arial"/>
          <w:color w:val="2C3E50"/>
          <w:sz w:val="20"/>
          <w:szCs w:val="20"/>
        </w:rPr>
        <w:t xml:space="preserve">Redflag score: TVK median 3.0 vs DMK median 2.0.</w:t>
      </w:r>
    </w:p>
    <w:p>
      <w:pPr>
        <w:pStyle w:val="ListParagraph"/>
        <w:numPr>
          <w:ilvl w:val="0"/>
          <w:numId w:val="2"/>
        </w:numPr>
        <w:spacing w:after="60" w:before="60"/>
      </w:pPr>
      <w:r>
        <w:rPr>
          <w:rFonts w:ascii="Arial" w:cs="Arial" w:eastAsia="Arial" w:hAnsi="Arial"/>
          <w:color w:val="2C3E50"/>
          <w:sz w:val="20"/>
          <w:szCs w:val="20"/>
        </w:rPr>
        <w:t xml:space="preserve">Age: TVK median 45 yrs vs DMK 55 yrs. TVK has 27.3% under 40 vs DMK's 3.2%.</w:t>
      </w:r>
    </w:p>
    <w:p>
      <w:pPr>
        <w:spacing w:after="40" w:before="40"/>
        <w:jc w:val="left"/>
      </w:pPr>
      <w:r>
        <w:rPr>
          <w:rFonts w:ascii="Arial" w:cs="Arial" w:eastAsia="Arial" w:hAnsi="Arial"/>
          <w:b w:val="false"/>
          <w:bCs w:val="false"/>
          <w:color w:val="2C3E50"/>
          <w:sz w:val="20"/>
          <w:szCs w:val="20"/>
        </w:rPr>
        <w:t xml:space="preserve"> </w:t>
      </w:r>
    </w:p>
    <w:p>
      <w:pPr>
        <w:spacing w:after="40" w:before="40"/>
        <w:jc w:val="left"/>
      </w:pPr>
      <w:r>
        <w:rPr>
          <w:rFonts w:ascii="Arial" w:cs="Arial" w:eastAsia="Arial" w:hAnsi="Arial"/>
          <w:b w:val="false"/>
          <w:bCs w:val="false"/>
          <w:color w:val="2C3E50"/>
          <w:sz w:val="20"/>
          <w:szCs w:val="20"/>
        </w:rPr>
        <w:t xml:space="preserve"> </w:t>
      </w:r>
    </w:p>
    <w:p>
      <w:pPr>
        <w:spacing w:after="80" w:before="80"/>
        <w:jc w:val="left"/>
      </w:pPr>
      <w:r>
        <w:rPr>
          <w:rFonts w:ascii="Arial" w:cs="Arial" w:eastAsia="Arial" w:hAnsi="Arial"/>
          <w:b w:val="false"/>
          <w:bCs w:val="false"/>
          <w:color w:val="777777"/>
          <w:sz w:val="18"/>
          <w:szCs w:val="18"/>
        </w:rPr>
        <w:t xml:space="preserve">Note: This analysis is based solely on data submitted by candidates in their statutory affidavits to the Election Commission of India. Accuracy depends on the completeness of those disclosures. Pending criminal cases do not imply guilt unless conviction is specifically indicated.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TN 2026 | TVK vs DMK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2026-05-06T06:12:23.455Z</dcterms:created>
  <dcterms:modified xsi:type="dcterms:W3CDTF">2026-05-06T06:12:23.460Z</dcterms:modified>
</cp:coreProperties>
</file>

<file path=docProps/custom.xml><?xml version="1.0" encoding="utf-8"?>
<Properties xmlns="http://schemas.openxmlformats.org/officeDocument/2006/custom-properties" xmlns:vt="http://schemas.openxmlformats.org/officeDocument/2006/docPropsVTypes"/>
</file>