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rFonts w:ascii="Calibri" w:cs="Calibri" w:eastAsia="Calibri" w:hAnsi="Calibri"/>
          <w:b/>
          <w:bCs/>
          <w:color w:val="1F4B46"/>
          <w:spacing w:val="30"/>
          <w:sz w:val="22"/>
          <w:szCs w:val="22"/>
        </w:rPr>
        <w:t xml:space="preserve">PROJECT &amp; LITERATURE REVIEW</w:t>
      </w:r>
    </w:p>
    <w:p>
      <w:pPr>
        <w:spacing w:after="300"/>
        <w:jc w:val="center"/>
      </w:pPr>
      <w:r>
        <w:rPr>
          <w:rFonts w:ascii="Cambria" w:cs="Cambria" w:eastAsia="Cambria" w:hAnsi="Cambria"/>
          <w:b/>
          <w:bCs/>
          <w:color w:val="1B2430"/>
          <w:sz w:val="40"/>
          <w:szCs w:val="40"/>
        </w:rPr>
        <w:t xml:space="preserve">Stock Market Analysis and Price Prediction Using Data Science:
A Hybrid Live/Offline, Multi-Model Comparative Framework</w:t>
      </w:r>
    </w:p>
    <w:p>
      <w:pPr>
        <w:spacing w:after="900"/>
        <w:jc w:val="center"/>
      </w:pPr>
      <w:r>
        <w:rPr>
          <w:rFonts w:ascii="Cambria" w:cs="Cambria" w:eastAsia="Cambria" w:hAnsi="Cambria"/>
          <w:i/>
          <w:iCs/>
          <w:color w:val="5B6660"/>
          <w:sz w:val="24"/>
          <w:szCs w:val="24"/>
        </w:rPr>
        <w:t xml:space="preserve">A CRISP-DM Data Science Micro-Project</w:t>
      </w:r>
    </w:p>
    <w:p>
      <w:pPr>
        <w:jc w:val="center"/>
      </w:pPr>
      <w:r>
        <w:rPr>
          <w:rFonts w:ascii="Calibri" w:cs="Calibri" w:eastAsia="Calibri" w:hAnsi="Calibri"/>
          <w:color w:val="5B6660"/>
          <w:sz w:val="20"/>
          <w:szCs w:val="20"/>
        </w:rPr>
        <w:t xml:space="preserve">Python  ·  pandas  ·  scikit-learn  ·  yfinance  ·  Streamlit</w:t>
      </w:r>
    </w:p>
    <w:p>
      <w:pPr>
        <w:pageBreakBefore/>
      </w:pPr>
    </w:p>
    <w:p>
      <w:pPr>
        <w:pStyle w:val="Heading1"/>
        <w:pBdr>
          <w:bottom w:val="single" w:color="C9CDC2" w:sz="6" w:space="6"/>
        </w:pBdr>
        <w:spacing w:after="200" w:before="480"/>
      </w:pPr>
      <w:r>
        <w:rPr>
          <w:rFonts w:ascii="Cambria" w:cs="Cambria" w:eastAsia="Cambria" w:hAnsi="Cambria"/>
          <w:b/>
          <w:bCs/>
          <w:color w:val="1B2430"/>
          <w:sz w:val="32"/>
          <w:szCs w:val="32"/>
        </w:rPr>
        <w:t xml:space="preserve">1.  Project Title</w:t>
      </w:r>
    </w:p>
    <w:p>
      <w:pPr>
        <w:spacing w:after="180" w:line="300"/>
        <w:jc w:val="left"/>
      </w:pPr>
      <w:r>
        <w:rPr>
          <w:rFonts w:ascii="Calibri" w:cs="Calibri" w:eastAsia="Calibri" w:hAnsi="Calibri"/>
          <w:b/>
          <w:bCs/>
          <w:color w:val="222222"/>
          <w:sz w:val="24"/>
          <w:szCs w:val="24"/>
        </w:rPr>
        <w:t xml:space="preserve">Stock Market Analysis and Price Prediction Using Data Science: A Hybrid Live/Offline, Multi-Model Comparative Framework</w:t>
      </w:r>
    </w:p>
    <w:p>
      <w:pPr>
        <w:spacing w:after="100" w:before="220"/>
      </w:pPr>
      <w:r>
        <w:rPr>
          <w:rFonts w:ascii="Calibri" w:cs="Calibri" w:eastAsia="Calibri" w:hAnsi="Calibri"/>
          <w:b/>
          <w:bCs/>
          <w:color w:val="1B2430"/>
          <w:sz w:val="22"/>
          <w:szCs w:val="22"/>
        </w:rPr>
        <w:t xml:space="preserve">Novelty of the proposed approach</w:t>
      </w:r>
    </w:p>
    <w:p>
      <w:pPr>
        <w:pStyle w:val="ListParagraph"/>
        <w:numPr>
          <w:ilvl w:val="0"/>
          <w:numId w:val="2"/>
        </w:numPr>
        <w:spacing w:after="100" w:line="280"/>
      </w:pPr>
      <w:r>
        <w:rPr>
          <w:rFonts w:ascii="Calibri" w:cs="Calibri" w:eastAsia="Calibri" w:hAnsi="Calibri"/>
          <w:color w:val="222222"/>
          <w:sz w:val="22"/>
          <w:szCs w:val="22"/>
        </w:rPr>
        <w:t xml:space="preserve">Dual-source data layer — the same pipeline runs identically against live Yahoo Finance data or a static offline snapshot of ~5,900 tickers, enabling reproducible, network-independent results alongside real-time analysis.</w:t>
      </w:r>
    </w:p>
    <w:p>
      <w:pPr>
        <w:pStyle w:val="ListParagraph"/>
        <w:numPr>
          <w:ilvl w:val="0"/>
          <w:numId w:val="2"/>
        </w:numPr>
        <w:spacing w:after="100" w:line="280"/>
      </w:pPr>
      <w:r>
        <w:rPr>
          <w:rFonts w:ascii="Calibri" w:cs="Calibri" w:eastAsia="Calibri" w:hAnsi="Calibri"/>
          <w:color w:val="222222"/>
          <w:sz w:val="22"/>
          <w:szCs w:val="22"/>
        </w:rPr>
        <w:t xml:space="preserve">Automatic best-model selection across five heterogeneous regressors (Linear Regression, Decision Tree, Random Forest, Gradient Boosting, and a target-scaled linear SVR), each hyperparameter-tuned via GridSearchCV over a TimeSeriesSplit cross-validator that never leaks future information into training.</w:t>
      </w:r>
    </w:p>
    <w:p>
      <w:pPr>
        <w:pStyle w:val="ListParagraph"/>
        <w:numPr>
          <w:ilvl w:val="0"/>
          <w:numId w:val="2"/>
        </w:numPr>
        <w:spacing w:after="100" w:line="280"/>
      </w:pPr>
      <w:r>
        <w:rPr>
          <w:rFonts w:ascii="Calibri" w:cs="Calibri" w:eastAsia="Calibri" w:hAnsi="Calibri"/>
          <w:color w:val="222222"/>
          <w:sz w:val="22"/>
          <w:szCs w:val="22"/>
        </w:rPr>
        <w:t xml:space="preserve">Technical-indicator-driven feature engineering (RSI, MACD, Bollinger Bands, rolling volatility, lagged returns) rather than raw OHLC alone, aligning the feature set with what practicing technical analysts actually use.</w:t>
      </w:r>
    </w:p>
    <w:p>
      <w:pPr>
        <w:pStyle w:val="ListParagraph"/>
        <w:numPr>
          <w:ilvl w:val="0"/>
          <w:numId w:val="2"/>
        </w:numPr>
        <w:spacing w:after="100" w:line="280"/>
      </w:pPr>
      <w:r>
        <w:rPr>
          <w:rFonts w:ascii="Calibri" w:cs="Calibri" w:eastAsia="Calibri" w:hAnsi="Calibri"/>
          <w:color w:val="222222"/>
          <w:sz w:val="22"/>
          <w:szCs w:val="22"/>
        </w:rPr>
        <w:t xml:space="preserve">Cross-sectional market analytics — beyond single-ticker forecasting, the offline dataset is summarized once into per-ticker CAGR and volatility statistics across thousands of tickers simultaneously, something a live-API-only design cannot support at that scale.</w:t>
      </w:r>
    </w:p>
    <w:p>
      <w:pPr>
        <w:pStyle w:val="ListParagraph"/>
        <w:numPr>
          <w:ilvl w:val="0"/>
          <w:numId w:val="2"/>
        </w:numPr>
        <w:spacing w:after="100" w:line="280"/>
      </w:pPr>
      <w:r>
        <w:rPr>
          <w:rFonts w:ascii="Calibri" w:cs="Calibri" w:eastAsia="Calibri" w:hAnsi="Calibri"/>
          <w:color w:val="222222"/>
          <w:sz w:val="22"/>
          <w:szCs w:val="22"/>
        </w:rPr>
        <w:t xml:space="preserve">An 8-page interactive dashboard exposing every pipeline stage (raw data, indicators, model comparison, forecast, cross-ticker comparison) for live exploration, not just a static notebook report.</w:t>
      </w:r>
    </w:p>
    <w:p>
      <w:pPr>
        <w:pStyle w:val="Heading1"/>
        <w:pBdr>
          <w:bottom w:val="single" w:color="C9CDC2" w:sz="6" w:space="6"/>
        </w:pBdr>
        <w:spacing w:after="200" w:before="480"/>
      </w:pPr>
      <w:r>
        <w:rPr>
          <w:rFonts w:ascii="Cambria" w:cs="Cambria" w:eastAsia="Cambria" w:hAnsi="Cambria"/>
          <w:b/>
          <w:bCs/>
          <w:color w:val="1B2430"/>
          <w:sz w:val="32"/>
          <w:szCs w:val="32"/>
        </w:rPr>
        <w:t xml:space="preserve">2.  Introduction</w:t>
      </w:r>
    </w:p>
    <w:p>
      <w:pPr>
        <w:pStyle w:val="Heading2"/>
        <w:spacing w:after="160" w:before="360"/>
      </w:pPr>
      <w:r>
        <w:rPr>
          <w:rFonts w:ascii="Cambria" w:cs="Cambria" w:eastAsia="Cambria" w:hAnsi="Cambria"/>
          <w:b/>
          <w:bCs/>
          <w:color w:val="1F4B46"/>
          <w:sz w:val="26"/>
          <w:szCs w:val="26"/>
        </w:rPr>
        <w:t xml:space="preserve">2.1  The problem and its domain</w:t>
      </w:r>
    </w:p>
    <w:p>
      <w:pPr>
        <w:spacing w:after="180" w:line="300"/>
        <w:jc w:val="left"/>
      </w:pPr>
      <w:r>
        <w:rPr>
          <w:rFonts w:ascii="Calibri" w:cs="Calibri" w:eastAsia="Calibri" w:hAnsi="Calibri"/>
          <w:color w:val="222222"/>
          <w:sz w:val="22"/>
          <w:szCs w:val="22"/>
        </w:rPr>
        <w:t xml:space="preserve">Predicting the future price of a publicly traded stock from its historical trading data is one of the oldest and most heavily studied problems in quantitative finance and, more recently, in applied data science. The domain sits at the intersection of time-series analysis, statistical learning, and financial theory: prices are noisy, non-stationary, and influenced by information the model never observes (news, macroeconomic shifts, investor sentiment), yet historical price and volume data still carry statistically exploitable structure — momentum, mean reversion, volatility clustering — that machine-learning models can be trained to recognize.</w:t>
      </w:r>
    </w:p>
    <w:p>
      <w:pPr>
        <w:spacing w:after="180" w:line="300"/>
        <w:jc w:val="left"/>
      </w:pPr>
      <w:r>
        <w:rPr>
          <w:rFonts w:ascii="Calibri" w:cs="Calibri" w:eastAsia="Calibri" w:hAnsi="Calibri"/>
          <w:color w:val="222222"/>
          <w:sz w:val="22"/>
          <w:szCs w:val="22"/>
        </w:rPr>
        <w:t xml:space="preserve">This project treats the problem as a supervised regression task: given a stock's cleaned historical Open/High/Low/Close/Volume series and a set of derived technical indicators, predict its next closing price (and, by iterative extension, several days ahead). The full workflow — data collection, cleaning, feature engineering, exploratory analysis, model training and tuning, evaluation, and deployment — is organized around the CRISP-DM methodology, the industry-standard process model for data-mining projects.</w:t>
      </w:r>
    </w:p>
    <w:p>
      <w:pPr>
        <w:pStyle w:val="Heading2"/>
        <w:spacing w:after="160" w:before="360"/>
      </w:pPr>
      <w:r>
        <w:rPr>
          <w:rFonts w:ascii="Cambria" w:cs="Cambria" w:eastAsia="Cambria" w:hAnsi="Cambria"/>
          <w:b/>
          <w:bCs/>
          <w:color w:val="1F4B46"/>
          <w:sz w:val="26"/>
          <w:szCs w:val="26"/>
        </w:rPr>
        <w:t xml:space="preserve">2.2  Why this problem is important</w:t>
      </w:r>
    </w:p>
    <w:p>
      <w:pPr>
        <w:pStyle w:val="ListParagraph"/>
        <w:numPr>
          <w:ilvl w:val="0"/>
          <w:numId w:val="2"/>
        </w:numPr>
        <w:spacing w:after="100" w:line="280"/>
      </w:pPr>
      <w:r>
        <w:rPr>
          <w:rFonts w:ascii="Calibri" w:cs="Calibri" w:eastAsia="Calibri" w:hAnsi="Calibri"/>
          <w:color w:val="222222"/>
          <w:sz w:val="22"/>
          <w:szCs w:val="22"/>
        </w:rPr>
        <w:t xml:space="preserve">Financial relevance: even marginal, statistically-validated predictive accuracy has direct economic value for individual investors, portfolio managers, and algorithmic trading systems — which is why it remains one of the most heavily funded applications of machine learning in industry.</w:t>
      </w:r>
    </w:p>
    <w:p>
      <w:pPr>
        <w:pStyle w:val="ListParagraph"/>
        <w:numPr>
          <w:ilvl w:val="0"/>
          <w:numId w:val="2"/>
        </w:numPr>
        <w:spacing w:after="100" w:line="280"/>
      </w:pPr>
      <w:r>
        <w:rPr>
          <w:rFonts w:ascii="Calibri" w:cs="Calibri" w:eastAsia="Calibri" w:hAnsi="Calibri"/>
          <w:color w:val="222222"/>
          <w:sz w:val="22"/>
          <w:szCs w:val="22"/>
        </w:rPr>
        <w:t xml:space="preserve">Risk management: accurate short-horizon forecasts and volatility estimates feed directly into position sizing, stop-loss placement, and portfolio risk models, not just "buy/sell" decisions.</w:t>
      </w:r>
    </w:p>
    <w:p>
      <w:pPr>
        <w:pStyle w:val="ListParagraph"/>
        <w:numPr>
          <w:ilvl w:val="0"/>
          <w:numId w:val="2"/>
        </w:numPr>
        <w:spacing w:after="100" w:line="280"/>
      </w:pPr>
      <w:r>
        <w:rPr>
          <w:rFonts w:ascii="Calibri" w:cs="Calibri" w:eastAsia="Calibri" w:hAnsi="Calibri"/>
          <w:color w:val="222222"/>
          <w:sz w:val="22"/>
          <w:szCs w:val="22"/>
        </w:rPr>
        <w:t xml:space="preserve">A rigorous testbed for data science method: because financial time series are notoriously low signal-to-noise, this domain forces careful practice — proper chronological train/test splitting, leakage-free feature engineering, and honest evaluation — that generalizes to any real-world forecasting problem.</w:t>
      </w:r>
    </w:p>
    <w:p>
      <w:pPr>
        <w:pStyle w:val="ListParagraph"/>
        <w:numPr>
          <w:ilvl w:val="0"/>
          <w:numId w:val="2"/>
        </w:numPr>
        <w:spacing w:after="100" w:line="280"/>
      </w:pPr>
      <w:r>
        <w:rPr>
          <w:rFonts w:ascii="Calibri" w:cs="Calibri" w:eastAsia="Calibri" w:hAnsi="Calibri"/>
          <w:color w:val="222222"/>
          <w:sz w:val="22"/>
          <w:szCs w:val="22"/>
        </w:rPr>
        <w:t xml:space="preserve">Market efficiency as a live research question: every model built here is implicitly a test of the (weak-form) efficient-market hypothesis; near-zero return autocorrelation and models' inability to reliably beat a naive baseline are themselves meaningful empirical findings, not just engineering exercises.</w:t>
      </w:r>
    </w:p>
    <w:p>
      <w:pPr>
        <w:pStyle w:val="Heading2"/>
        <w:spacing w:after="160" w:before="360"/>
      </w:pPr>
      <w:r>
        <w:rPr>
          <w:rFonts w:ascii="Cambria" w:cs="Cambria" w:eastAsia="Cambria" w:hAnsi="Cambria"/>
          <w:b/>
          <w:bCs/>
          <w:color w:val="1F4B46"/>
          <w:sz w:val="26"/>
          <w:szCs w:val="26"/>
        </w:rPr>
        <w:t xml:space="preserve">2.3  Motivation for selecting this topic</w:t>
      </w:r>
    </w:p>
    <w:p>
      <w:pPr>
        <w:spacing w:after="180" w:line="300"/>
        <w:jc w:val="left"/>
      </w:pPr>
      <w:r>
        <w:rPr>
          <w:rFonts w:ascii="Calibri" w:cs="Calibri" w:eastAsia="Calibri" w:hAnsi="Calibri"/>
          <w:color w:val="222222"/>
          <w:sz w:val="22"/>
          <w:szCs w:val="22"/>
        </w:rPr>
        <w:t xml:space="preserve">This topic was chosen because it exercises the complete data-science lifecycle end-to-end on a domain with freely available, high-quality, real-world data (via the yfinance API and a public Kaggle historical dataset), making every stage — collection, cleaning, feature engineering, modeling, evaluation, and deployment — independently verifiable rather than theoretical. Stock market data is also unusually well suited to demonstrating classical pitfalls that a data-science course needs to teach explicitly: the danger of random (non-chronological) train/test splits on time series, the inability of tree-based models to extrapolate beyond their training range, and the importance of comparing multiple algorithms rather than committing to one in advance. Finally, the domain's popularity in the published literature (surveyed below) makes it possible to ground every design decision in this project — which indicators to engineer, which models to compare, how to validate — against peer-reviewed precedent rather than guesswork.</w:t>
      </w:r>
    </w:p>
    <w:p>
      <w:pPr>
        <w:pStyle w:val="Heading1"/>
        <w:pBdr>
          <w:bottom w:val="single" w:color="C9CDC2" w:sz="6" w:space="6"/>
        </w:pBdr>
        <w:spacing w:after="200" w:before="480"/>
      </w:pPr>
      <w:r>
        <w:rPr>
          <w:rFonts w:ascii="Cambria" w:cs="Cambria" w:eastAsia="Cambria" w:hAnsi="Cambria"/>
          <w:b/>
          <w:bCs/>
          <w:color w:val="1B2430"/>
          <w:sz w:val="32"/>
          <w:szCs w:val="32"/>
        </w:rPr>
        <w:t xml:space="preserve">3.  Review of 5 Research Papers</w:t>
      </w:r>
    </w:p>
    <w:p>
      <w:pPr>
        <w:spacing w:after="180" w:line="300"/>
        <w:jc w:val="left"/>
      </w:pPr>
      <w:r>
        <w:rPr>
          <w:rFonts w:ascii="Calibri" w:cs="Calibri" w:eastAsia="Calibri" w:hAnsi="Calibri"/>
          <w:i/>
          <w:iCs/>
          <w:color w:val="5B6660"/>
          <w:sz w:val="22"/>
          <w:szCs w:val="22"/>
        </w:rPr>
        <w:t xml:space="preserve">The five papers below were selected to span the major modeling paradigms relevant to this project — deep sequence models (LSTM), ensemble tree methods (Random Forest), classical regression baselines, technical-indicator-driven feature engineering, and robustness under high-volatility regimes — and to directly inform this project's own design choices (Section 4).</w:t>
      </w:r>
    </w:p>
    <w:p>
      <w:pPr>
        <w:keepNext/>
        <w:spacing w:after="120" w:before="420"/>
      </w:pPr>
      <w:r>
        <w:rPr>
          <w:rFonts w:ascii="Cambria" w:cs="Cambria" w:eastAsia="Cambria" w:hAnsi="Cambria"/>
          <w:b/>
          <w:bCs/>
          <w:color w:val="8A6D1B"/>
          <w:sz w:val="24"/>
          <w:szCs w:val="24"/>
        </w:rPr>
        <w:t xml:space="preserve">Paper 1.  </w:t>
      </w:r>
      <w:r>
        <w:rPr>
          <w:rFonts w:ascii="Cambria" w:cs="Cambria" w:eastAsia="Cambria" w:hAnsi="Cambria"/>
          <w:b/>
          <w:bCs/>
          <w:i/>
          <w:iCs/>
          <w:color w:val="1B2430"/>
          <w:sz w:val="24"/>
          <w:szCs w:val="24"/>
        </w:rPr>
        <w:t xml:space="preserve">Deep Learning with Long Short-Term Memory Networks for Financial Market Predictions</w:t>
      </w:r>
    </w:p>
    <w:tbl>
      <w:tblPr>
        <w:tblW w:type="dxa" w:w="9500"/>
        <w:tblBorders>
          <w:top w:val="single" w:color="C9CDC2" w:sz="4"/>
          <w:left w:val="single" w:color="C9CDC2" w:sz="4"/>
          <w:bottom w:val="single" w:color="C9CDC2" w:sz="4"/>
          <w:right w:val="single" w:color="C9CDC2" w:sz="4"/>
          <w:insideH w:val="single" w:color="C9CDC2" w:sz="2"/>
          <w:insideV w:val="single" w:color="C9CDC2" w:sz="2"/>
        </w:tblBorders>
      </w:tblPr>
      <w:tblGrid>
        <w:gridCol w:w="2200"/>
        <w:gridCol w:w="7300"/>
      </w:tblGrid>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Authors</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Thomas Fischer, Christopher Krauss</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Year</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2018</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Journal / Conference</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European Journal of Operational Research, 270(2), 654–669</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Problem Addressed</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Whether a deep-learning sequence model (LSTM) can outperform classical benchmarks at predicting the next-day directional movement of large-cap US stocks, and whether that edge survives after transaction costs.</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Methodology / Model(s)</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Long Short-Term Memory (LSTM) recurrent neural network, benchmarked against Random Forest, Deep Neural Net, and Logistic Regression classifiers.</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Dataset Used</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S&amp;P 500 constituent stocks, daily data, 1992–2015 (~23 years), sourced from Thomson Reuters.</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Key Results / Findings</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LSTM achieved statistically significant classification accuracy above the benchmarks and generated positive, though shrinking over time, risk-adjusted returns even after transaction costs.</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Limitations</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Predictive edge decayed markedly in the post-2010 period as more capital chased the same signal — an early empirical warning about alpha decay/overfitting to historical patterns that later researchers must account for.</w:t>
            </w:r>
          </w:p>
        </w:tc>
      </w:tr>
    </w:tbl>
    <w:p>
      <w:pPr>
        <w:spacing w:after="280"/>
      </w:pPr>
      <w:hyperlink w:history="1" r:id="rIdooe7r_t1vlu7jv5lra5ck">
        <w:r>
          <w:rPr>
            <w:rStyle w:val="Hyperlink"/>
            <w:rFonts w:ascii="Calibri" w:cs="Calibri" w:eastAsia="Calibri" w:hAnsi="Calibri"/>
            <w:sz w:val="18"/>
            <w:szCs w:val="18"/>
          </w:rPr>
          <w:t xml:space="preserve">doi.org/10.1016/j.ejor.2017.11.054</w:t>
        </w:r>
      </w:hyperlink>
    </w:p>
    <w:p>
      <w:pPr>
        <w:keepNext/>
        <w:spacing w:after="120" w:before="420"/>
      </w:pPr>
      <w:r>
        <w:rPr>
          <w:rFonts w:ascii="Cambria" w:cs="Cambria" w:eastAsia="Cambria" w:hAnsi="Cambria"/>
          <w:b/>
          <w:bCs/>
          <w:color w:val="8A6D1B"/>
          <w:sz w:val="24"/>
          <w:szCs w:val="24"/>
        </w:rPr>
        <w:t xml:space="preserve">Paper 2.  </w:t>
      </w:r>
      <w:r>
        <w:rPr>
          <w:rFonts w:ascii="Cambria" w:cs="Cambria" w:eastAsia="Cambria" w:hAnsi="Cambria"/>
          <w:b/>
          <w:bCs/>
          <w:i/>
          <w:iCs/>
          <w:color w:val="1B2430"/>
          <w:sz w:val="24"/>
          <w:szCs w:val="24"/>
        </w:rPr>
        <w:t xml:space="preserve">Stock Price Prediction Using Machine Learning and LSTM-Based Deep Learning Models</w:t>
      </w:r>
    </w:p>
    <w:tbl>
      <w:tblPr>
        <w:tblW w:type="dxa" w:w="9500"/>
        <w:tblBorders>
          <w:top w:val="single" w:color="C9CDC2" w:sz="4"/>
          <w:left w:val="single" w:color="C9CDC2" w:sz="4"/>
          <w:bottom w:val="single" w:color="C9CDC2" w:sz="4"/>
          <w:right w:val="single" w:color="C9CDC2" w:sz="4"/>
          <w:insideH w:val="single" w:color="C9CDC2" w:sz="2"/>
          <w:insideV w:val="single" w:color="C9CDC2" w:sz="2"/>
        </w:tblBorders>
      </w:tblPr>
      <w:tblGrid>
        <w:gridCol w:w="2200"/>
        <w:gridCol w:w="7300"/>
      </w:tblGrid>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Authors</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Sidra Mehtab, Jaydip Sen, Abhishek Dutta</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Year</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2020</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Journal / Conference</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Proceedings of the Second Symposium on Machine Learning and Metaheuristic Algorithms and Applications (SoMMA'20), Springer</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Problem Addressed</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Building an accurate, practically deployable framework for predicting next-day and next-week movement of a major stock index, comparing classical regression against deep sequence models.</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Methodology / Model(s)</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Eight classical machine-learning regression models compared against four LSTM-based deep-learning variants (univariate and multivariate, single-step and multi-step), using walk-forward validation.</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Dataset Used</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NIFTY 50 index (India's National Stock Exchange), December 2014 – July 2020; trained on 2014–2018, tested on 2018–2020.</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Key Results / Findings</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The univariate LSTM model using one week of prior data to predict next week's opening value was the most accurate model overall, outperforming all eight classical regressors on error-ratio metrics.</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Limitations</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Focused only on a single broad market index rather than individual equities, and did not incorporate external technical or fundamental indicators as model features.</w:t>
            </w:r>
          </w:p>
        </w:tc>
      </w:tr>
    </w:tbl>
    <w:p>
      <w:pPr>
        <w:spacing w:after="280"/>
      </w:pPr>
      <w:hyperlink w:history="1" r:id="rIddstulkdchoomdplatrrch">
        <w:r>
          <w:rPr>
            <w:rStyle w:val="Hyperlink"/>
            <w:rFonts w:ascii="Calibri" w:cs="Calibri" w:eastAsia="Calibri" w:hAnsi="Calibri"/>
            <w:sz w:val="18"/>
            <w:szCs w:val="18"/>
          </w:rPr>
          <w:t xml:space="preserve">arxiv.org/abs/2009.10819</w:t>
        </w:r>
      </w:hyperlink>
    </w:p>
    <w:p>
      <w:pPr>
        <w:keepNext/>
        <w:spacing w:after="120" w:before="420"/>
      </w:pPr>
      <w:r>
        <w:rPr>
          <w:rFonts w:ascii="Cambria" w:cs="Cambria" w:eastAsia="Cambria" w:hAnsi="Cambria"/>
          <w:b/>
          <w:bCs/>
          <w:color w:val="8A6D1B"/>
          <w:sz w:val="24"/>
          <w:szCs w:val="24"/>
        </w:rPr>
        <w:t xml:space="preserve">Paper 3.  </w:t>
      </w:r>
      <w:r>
        <w:rPr>
          <w:rFonts w:ascii="Cambria" w:cs="Cambria" w:eastAsia="Cambria" w:hAnsi="Cambria"/>
          <w:b/>
          <w:bCs/>
          <w:i/>
          <w:iCs/>
          <w:color w:val="1B2430"/>
          <w:sz w:val="24"/>
          <w:szCs w:val="24"/>
        </w:rPr>
        <w:t xml:space="preserve">Forecasting Directional Movements of Stock Prices for Intraday Trading Using LSTM and Random Forests</w:t>
      </w:r>
    </w:p>
    <w:tbl>
      <w:tblPr>
        <w:tblW w:type="dxa" w:w="9500"/>
        <w:tblBorders>
          <w:top w:val="single" w:color="C9CDC2" w:sz="4"/>
          <w:left w:val="single" w:color="C9CDC2" w:sz="4"/>
          <w:bottom w:val="single" w:color="C9CDC2" w:sz="4"/>
          <w:right w:val="single" w:color="C9CDC2" w:sz="4"/>
          <w:insideH w:val="single" w:color="C9CDC2" w:sz="2"/>
          <w:insideV w:val="single" w:color="C9CDC2" w:sz="2"/>
        </w:tblBorders>
      </w:tblPr>
      <w:tblGrid>
        <w:gridCol w:w="2200"/>
        <w:gridCol w:w="7300"/>
      </w:tblGrid>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Authors</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Pushpendu Ghosh, Ariel Neufeld, Jajati Keshari Sahoo</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Year</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2021</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Journal / Conference</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Finance Research Letters (Elsevier)</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Problem Addressed</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Whether machine-learning models can profitably forecast intraday directional price movement across a broad universe of stocks, and how a Random Forest compares against an LSTM on the same task at scale.</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Methodology / Model(s)</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LSTM (CuDNNLSTM) and Random Forest classifiers, each trained in single-feature and multi-feature configurations combining close, open, and intraday returns; ranked-portfolio long/short trading strategy on model output.</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Dataset Used</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All S&amp;P 500 constituent stocks, daily data, January 1993 – December 2018 (~25 years).</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Key Results / Findings</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Multi-feature LSTM produced the highest average daily return (0.64%), ahead of multi-feature Random Forest (0.54%); both clearly outperformed their single-feature benchmarks (0.41% and 0.39% respectively).</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Limitations</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Reported returns were computed before transaction costs, so real-world profitability after trading frictions would be materially lower than stated.</w:t>
            </w:r>
          </w:p>
        </w:tc>
      </w:tr>
    </w:tbl>
    <w:p>
      <w:pPr>
        <w:spacing w:after="280"/>
      </w:pPr>
      <w:hyperlink w:history="1" r:id="rIdyuif8xnwgh1che9y_9upr">
        <w:r>
          <w:rPr>
            <w:rStyle w:val="Hyperlink"/>
            <w:rFonts w:ascii="Calibri" w:cs="Calibri" w:eastAsia="Calibri" w:hAnsi="Calibri"/>
            <w:sz w:val="18"/>
            <w:szCs w:val="18"/>
          </w:rPr>
          <w:t xml:space="preserve">arxiv.org/abs/2004.10178</w:t>
        </w:r>
      </w:hyperlink>
    </w:p>
    <w:p>
      <w:pPr>
        <w:keepNext/>
        <w:spacing w:after="120" w:before="420"/>
      </w:pPr>
      <w:r>
        <w:rPr>
          <w:rFonts w:ascii="Cambria" w:cs="Cambria" w:eastAsia="Cambria" w:hAnsi="Cambria"/>
          <w:b/>
          <w:bCs/>
          <w:color w:val="8A6D1B"/>
          <w:sz w:val="24"/>
          <w:szCs w:val="24"/>
        </w:rPr>
        <w:t xml:space="preserve">Paper 4.  </w:t>
      </w:r>
      <w:r>
        <w:rPr>
          <w:rFonts w:ascii="Cambria" w:cs="Cambria" w:eastAsia="Cambria" w:hAnsi="Cambria"/>
          <w:b/>
          <w:bCs/>
          <w:i/>
          <w:iCs/>
          <w:color w:val="1B2430"/>
          <w:sz w:val="24"/>
          <w:szCs w:val="24"/>
        </w:rPr>
        <w:t xml:space="preserve">LSTM Deep Learning Based Stock Price Prediction with Bollinger Band, RSI, MACD, and OHLC Features</w:t>
      </w:r>
    </w:p>
    <w:tbl>
      <w:tblPr>
        <w:tblW w:type="dxa" w:w="9500"/>
        <w:tblBorders>
          <w:top w:val="single" w:color="C9CDC2" w:sz="4"/>
          <w:left w:val="single" w:color="C9CDC2" w:sz="4"/>
          <w:bottom w:val="single" w:color="C9CDC2" w:sz="4"/>
          <w:right w:val="single" w:color="C9CDC2" w:sz="4"/>
          <w:insideH w:val="single" w:color="C9CDC2" w:sz="2"/>
          <w:insideV w:val="single" w:color="C9CDC2" w:sz="2"/>
        </w:tblBorders>
      </w:tblPr>
      <w:tblGrid>
        <w:gridCol w:w="2200"/>
        <w:gridCol w:w="7300"/>
      </w:tblGrid>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Authors</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Rahul Maruti Dhokane, Sohit Agarwal</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Year</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2024</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Journal / Conference</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International Journal of Intelligent Systems and Applications in Engineering (IJISAE), 12(3)</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Problem Addressed</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Whether enriching an LSTM model with classical technical-analysis indicators — rather than raw OHLC price alone — improves the accuracy of closing-price and trend prediction under real market volatility.</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Methodology / Model(s)</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LSTM neural network trained on OHLC data augmented with three engineered technical indicators: RSI, Bollinger Bands, and MACD; evaluated using R², MAPE, and RMSE.</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Dataset Used</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Five NSE-listed Indian stocks (Reliance, Asian Paints, Hindustan Unilever, Kotak Bank, Infosys), January 2020 – July 2023, retrieved via the Yahoo Finance API.</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Key Results / Findings</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Adding RSI, Bollinger Bands, and MACD as model features improved prediction accuracy over raw-price-only baselines across the tested stocks on R², MAPE, and RMSE.</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Limitations</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Evaluated on a small, sector-concentrated set of five large-cap Indian equities, so generalization to smaller-cap or non-Indian markets is untested.</w:t>
            </w:r>
          </w:p>
        </w:tc>
      </w:tr>
    </w:tbl>
    <w:p>
      <w:pPr>
        <w:spacing w:after="280"/>
      </w:pPr>
      <w:hyperlink w:history="1" r:id="rIdwhg-036uodqhdxp5m8iti">
        <w:r>
          <w:rPr>
            <w:rStyle w:val="Hyperlink"/>
            <w:rFonts w:ascii="Calibri" w:cs="Calibri" w:eastAsia="Calibri" w:hAnsi="Calibri"/>
            <w:sz w:val="18"/>
            <w:szCs w:val="18"/>
          </w:rPr>
          <w:t xml:space="preserve">ijisae.org/index.php/IJISAE/article/view/5396</w:t>
        </w:r>
      </w:hyperlink>
    </w:p>
    <w:p>
      <w:pPr>
        <w:keepNext/>
        <w:spacing w:after="120" w:before="420"/>
      </w:pPr>
      <w:r>
        <w:rPr>
          <w:rFonts w:ascii="Cambria" w:cs="Cambria" w:eastAsia="Cambria" w:hAnsi="Cambria"/>
          <w:b/>
          <w:bCs/>
          <w:color w:val="8A6D1B"/>
          <w:sz w:val="24"/>
          <w:szCs w:val="24"/>
        </w:rPr>
        <w:t xml:space="preserve">Paper 5.  </w:t>
      </w:r>
      <w:r>
        <w:rPr>
          <w:rFonts w:ascii="Cambria" w:cs="Cambria" w:eastAsia="Cambria" w:hAnsi="Cambria"/>
          <w:b/>
          <w:bCs/>
          <w:i/>
          <w:iCs/>
          <w:color w:val="1B2430"/>
          <w:sz w:val="24"/>
          <w:szCs w:val="24"/>
        </w:rPr>
        <w:t xml:space="preserve">Stock Market Forecasting Using the Random Forest and Deep Neural Network Models Before and During the COVID-19 Period</w:t>
      </w:r>
    </w:p>
    <w:tbl>
      <w:tblPr>
        <w:tblW w:type="dxa" w:w="9500"/>
        <w:tblBorders>
          <w:top w:val="single" w:color="C9CDC2" w:sz="4"/>
          <w:left w:val="single" w:color="C9CDC2" w:sz="4"/>
          <w:bottom w:val="single" w:color="C9CDC2" w:sz="4"/>
          <w:right w:val="single" w:color="C9CDC2" w:sz="4"/>
          <w:insideH w:val="single" w:color="C9CDC2" w:sz="2"/>
          <w:insideV w:val="single" w:color="C9CDC2" w:sz="2"/>
        </w:tblBorders>
      </w:tblPr>
      <w:tblGrid>
        <w:gridCol w:w="2200"/>
        <w:gridCol w:w="7300"/>
      </w:tblGrid>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Authors</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Abdullah Bin Omar, Shuai Huang, Anas A. Salameh, Haris Khurram, Muhammad Fareed</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Year</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2022</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Journal / Conference</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Frontiers in Environmental Science</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Problem Addressed</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How forecasting accuracy of autoregressive machine-learning models degrades (or holds up) during a regime of extreme, exogenous market volatility, compared to a classical statistical benchmark.</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Methodology / Model(s)</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Autoregressive Deep Neural Network (AR-DNN) and Autoregressive Random Forest (AR-RF), benchmarked against classical ARIMA, evaluated separately on pre-COVID and during-COVID sub-periods.</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Dataset Used</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KSE-100 index (Pakistan Stock Exchange), January 2001 – August 2021, 5,077 observations (4,712 pre-COVID / 365 during COVID).</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Key Results / Findings</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AR-DNN was the strongest overall model (R² = 0.963); AR-Random Forest became the best-performing model specifically during the high-volatility COVID period (R² = 0.917), and both sharply outperformed ARIMA, whose error was 89–116% higher.</w:t>
            </w:r>
          </w:p>
        </w:tc>
      </w:tr>
      <w:tr>
        <w:tc>
          <w:tcPr>
            <w:tcW w:type="dxa" w:w="2200"/>
            <w:shd w:fill="E4EBE8" w:val="clear"/>
            <w:tcMar>
              <w:top w:type="dxa" w:w="100"/>
              <w:left w:type="dxa" w:w="150"/>
              <w:bottom w:type="dxa" w:w="100"/>
              <w:right w:type="dxa" w:w="150"/>
            </w:tcMar>
          </w:tcPr>
          <w:p>
            <w:r>
              <w:rPr>
                <w:rFonts w:ascii="Calibri" w:cs="Calibri" w:eastAsia="Calibri" w:hAnsi="Calibri"/>
                <w:b/>
                <w:bCs/>
                <w:color w:val="1F4B46"/>
                <w:sz w:val="20"/>
                <w:szCs w:val="20"/>
              </w:rPr>
              <w:t xml:space="preserve">Limitations</w:t>
            </w:r>
          </w:p>
        </w:tc>
        <w:tc>
          <w:tcPr>
            <w:tcW w:type="dxa" w:w="7300"/>
            <w:tcMar>
              <w:top w:type="dxa" w:w="100"/>
              <w:left w:type="dxa" w:w="150"/>
              <w:bottom w:type="dxa" w:w="100"/>
              <w:right w:type="dxa" w:w="150"/>
            </w:tcMar>
          </w:tcPr>
          <w:p>
            <w:r>
              <w:rPr>
                <w:rFonts w:ascii="Calibri" w:cs="Calibri" w:eastAsia="Calibri" w:hAnsi="Calibri"/>
                <w:color w:val="222222"/>
                <w:sz w:val="20"/>
                <w:szCs w:val="20"/>
              </w:rPr>
              <w:t xml:space="preserve">Limited to autoregressive DNN and Random Forest architectures; the authors explicitly recommend future work extend the comparison to SVM, LSTM, and GRU models.</w:t>
            </w:r>
          </w:p>
        </w:tc>
      </w:tr>
    </w:tbl>
    <w:p>
      <w:pPr>
        <w:spacing w:after="280"/>
      </w:pPr>
      <w:hyperlink w:history="1" r:id="rIdgc7qzymor5ymlfqcrmc6n">
        <w:r>
          <w:rPr>
            <w:rStyle w:val="Hyperlink"/>
            <w:rFonts w:ascii="Calibri" w:cs="Calibri" w:eastAsia="Calibri" w:hAnsi="Calibri"/>
            <w:sz w:val="18"/>
            <w:szCs w:val="18"/>
          </w:rPr>
          <w:t xml:space="preserve">doi.org/10.3389/fenvs.2022.917047</w:t>
        </w:r>
      </w:hyperlink>
    </w:p>
    <w:p>
      <w:pPr>
        <w:pStyle w:val="Heading2"/>
        <w:spacing w:after="160" w:before="360"/>
      </w:pPr>
      <w:r>
        <w:rPr>
          <w:rFonts w:ascii="Cambria" w:cs="Cambria" w:eastAsia="Cambria" w:hAnsi="Cambria"/>
          <w:b/>
          <w:bCs/>
          <w:color w:val="1F4B46"/>
          <w:sz w:val="26"/>
          <w:szCs w:val="26"/>
        </w:rPr>
        <w:t xml:space="preserve">3.6  Synthesis — how these papers shaped this project</w:t>
      </w:r>
    </w:p>
    <w:p>
      <w:pPr>
        <w:pStyle w:val="ListParagraph"/>
        <w:numPr>
          <w:ilvl w:val="0"/>
          <w:numId w:val="2"/>
        </w:numPr>
        <w:spacing w:after="100" w:line="280"/>
      </w:pPr>
      <w:r>
        <w:rPr>
          <w:rFonts w:ascii="Calibri" w:cs="Calibri" w:eastAsia="Calibri" w:hAnsi="Calibri"/>
          <w:color w:val="222222"/>
          <w:sz w:val="22"/>
          <w:szCs w:val="22"/>
        </w:rPr>
        <w:t xml:space="preserve">Fischer &amp; Krauss (2018) and Ghosh et al. (2021) both show LSTM edging out Random Forest on directional accuracy at large scale — but this project targets exact price regression on a single ticker at a time with a modest data budget, where classical models (Linear Regression, tuned tree ensembles, linear-kernel SVR) are more tractable and, as this project's own results confirm, often competitive precisely because of the extrapolation issue documented below.</w:t>
      </w:r>
    </w:p>
    <w:p>
      <w:pPr>
        <w:pStyle w:val="ListParagraph"/>
        <w:numPr>
          <w:ilvl w:val="0"/>
          <w:numId w:val="2"/>
        </w:numPr>
        <w:spacing w:after="100" w:line="280"/>
      </w:pPr>
      <w:r>
        <w:rPr>
          <w:rFonts w:ascii="Calibri" w:cs="Calibri" w:eastAsia="Calibri" w:hAnsi="Calibri"/>
          <w:color w:val="222222"/>
          <w:sz w:val="22"/>
          <w:szCs w:val="22"/>
        </w:rPr>
        <w:t xml:space="preserve">All five papers use chronological — never random — train/test splitting; this project's TimeSeriesSplit-based cross-validation and 80/20 chronological split directly follow that established practice.</w:t>
      </w:r>
    </w:p>
    <w:p>
      <w:pPr>
        <w:pStyle w:val="ListParagraph"/>
        <w:numPr>
          <w:ilvl w:val="0"/>
          <w:numId w:val="2"/>
        </w:numPr>
        <w:spacing w:after="100" w:line="280"/>
      </w:pPr>
      <w:r>
        <w:rPr>
          <w:rFonts w:ascii="Calibri" w:cs="Calibri" w:eastAsia="Calibri" w:hAnsi="Calibri"/>
          <w:color w:val="222222"/>
          <w:sz w:val="22"/>
          <w:szCs w:val="22"/>
        </w:rPr>
        <w:t xml:space="preserve">Dhokane &amp; Agarwal (2024) is the closest precedent to this project's feature set: RSI, Bollinger Bands, and MACD engineered on top of raw OHLC, tested on NSE-listed Indian equities retrieved via the Yahoo Finance API — the same data source and several of the same tickers (e.g. Reliance) used here.</w:t>
      </w:r>
    </w:p>
    <w:p>
      <w:pPr>
        <w:pStyle w:val="ListParagraph"/>
        <w:numPr>
          <w:ilvl w:val="0"/>
          <w:numId w:val="2"/>
        </w:numPr>
        <w:spacing w:after="100" w:line="280"/>
      </w:pPr>
      <w:r>
        <w:rPr>
          <w:rFonts w:ascii="Calibri" w:cs="Calibri" w:eastAsia="Calibri" w:hAnsi="Calibri"/>
          <w:color w:val="222222"/>
          <w:sz w:val="22"/>
          <w:szCs w:val="22"/>
        </w:rPr>
        <w:t xml:space="preserve">Omar et al. (2022) demonstrates that Random Forest and tree ensembles can be the strongest performer specifically during high-volatility regimes even when a deep model wins on average — motivating this project's decision to auto-select the best of five models per ticker rather than hard-coding one algorithm.</w:t>
      </w:r>
    </w:p>
    <w:p>
      <w:pPr>
        <w:pStyle w:val="ListParagraph"/>
        <w:numPr>
          <w:ilvl w:val="0"/>
          <w:numId w:val="2"/>
        </w:numPr>
        <w:spacing w:after="100" w:line="280"/>
      </w:pPr>
      <w:r>
        <w:rPr>
          <w:rFonts w:ascii="Calibri" w:cs="Calibri" w:eastAsia="Calibri" w:hAnsi="Calibri"/>
          <w:color w:val="222222"/>
          <w:sz w:val="22"/>
          <w:szCs w:val="22"/>
        </w:rPr>
        <w:t xml:space="preserve">None of the five papers report results net of the non-extrapolation failure mode this project documents directly (an RBF-kernel SVR scoring R² = −2.61 on a trending stock, corrected by switching to a linear kernel) — underscoring that this is a genuine, underreported pitfall worth surfacing explicitly rather than an implementation bug to hide.</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60"/>
        <w:sz w:val="15"/>
        <w:szCs w:val="15"/>
      </w:rPr>
      <w:t xml:space="preserve">Page </w:t>
    </w:r>
    <w:r>
      <w:rPr>
        <w:rFonts w:ascii="Calibri" w:cs="Calibri" w:eastAsia="Calibri" w:hAnsi="Calibri"/>
        <w:color w:val="5B666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660"/>
        <w:sz w:val="15"/>
        <w:szCs w:val="15"/>
      </w:rPr>
      <w:t xml:space="preserve">Stock Market Analysis &amp; Price Prediction — Project &amp;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oe7r_t1vlu7jv5lra5ck" Type="http://schemas.openxmlformats.org/officeDocument/2006/relationships/hyperlink" Target="https://doi.org/10.1016/j.ejor.2017.11.054" TargetMode="External"/><Relationship Id="rIddstulkdchoomdplatrrch" Type="http://schemas.openxmlformats.org/officeDocument/2006/relationships/hyperlink" Target="https://arxiv.org/abs/2009.10819" TargetMode="External"/><Relationship Id="rIdyuif8xnwgh1che9y_9upr" Type="http://schemas.openxmlformats.org/officeDocument/2006/relationships/hyperlink" Target="https://arxiv.org/abs/2004.10178" TargetMode="External"/><Relationship Id="rIdwhg-036uodqhdxp5m8iti" Type="http://schemas.openxmlformats.org/officeDocument/2006/relationships/hyperlink" Target="https://ijisae.org/index.php/IJISAE/article/view/5396" TargetMode="External"/><Relationship Id="rIdgc7qzymor5ymlfqcrmc6n" Type="http://schemas.openxmlformats.org/officeDocument/2006/relationships/hyperlink" Target="https://doi.org/10.3389/fenvs.2022.917047"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2026-08-20T16:02:51.254Z</dcterms:created>
  <dcterms:modified xsi:type="dcterms:W3CDTF">2026-08-20T16:02:51.255Z</dcterms:modified>
</cp:coreProperties>
</file>

<file path=docProps/custom.xml><?xml version="1.0" encoding="utf-8"?>
<Properties xmlns="http://schemas.openxmlformats.org/officeDocument/2006/custom-properties" xmlns:vt="http://schemas.openxmlformats.org/officeDocument/2006/docPropsVTypes"/>
</file>