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6BF56" w14:textId="77777777" w:rsidR="00ED2F03" w:rsidRPr="00063897" w:rsidRDefault="00000000">
      <w:pPr>
        <w:spacing w:before="1400"/>
        <w:jc w:val="center"/>
        <w:rPr>
          <w:color w:val="000000" w:themeColor="text1"/>
          <w:sz w:val="28"/>
          <w:szCs w:val="28"/>
        </w:rPr>
      </w:pPr>
      <w:r w:rsidRPr="00063897">
        <w:rPr>
          <w:b/>
          <w:bCs/>
          <w:color w:val="000000" w:themeColor="text1"/>
          <w:spacing w:val="40"/>
          <w:sz w:val="28"/>
          <w:szCs w:val="28"/>
        </w:rPr>
        <w:t>CASE ANALYSIS</w:t>
      </w:r>
    </w:p>
    <w:p w14:paraId="4AD715F7" w14:textId="77777777" w:rsidR="00ED2F03" w:rsidRPr="00063897" w:rsidRDefault="00000000">
      <w:pPr>
        <w:spacing w:before="200" w:after="120"/>
        <w:jc w:val="center"/>
        <w:rPr>
          <w:color w:val="000000" w:themeColor="text1"/>
          <w:sz w:val="28"/>
          <w:szCs w:val="28"/>
        </w:rPr>
      </w:pPr>
      <w:r w:rsidRPr="00063897">
        <w:rPr>
          <w:b/>
          <w:bCs/>
          <w:i/>
          <w:iCs/>
          <w:color w:val="000000" w:themeColor="text1"/>
          <w:sz w:val="28"/>
          <w:szCs w:val="28"/>
        </w:rPr>
        <w:t>Balfour v Balfour</w:t>
      </w:r>
    </w:p>
    <w:p w14:paraId="387288C3" w14:textId="77777777" w:rsidR="00ED2F03" w:rsidRPr="00DA574D" w:rsidRDefault="00000000">
      <w:pPr>
        <w:jc w:val="center"/>
        <w:rPr>
          <w:sz w:val="28"/>
          <w:szCs w:val="28"/>
        </w:rPr>
      </w:pPr>
      <w:r w:rsidRPr="00DA574D">
        <w:rPr>
          <w:color w:val="444444"/>
          <w:sz w:val="28"/>
          <w:szCs w:val="28"/>
        </w:rPr>
        <w:t>[1919] 2 KB 571</w:t>
      </w:r>
    </w:p>
    <w:p w14:paraId="1CF56720" w14:textId="77777777" w:rsidR="00ED2F03" w:rsidRPr="00DA574D" w:rsidRDefault="00000000">
      <w:pPr>
        <w:spacing w:before="300"/>
        <w:jc w:val="center"/>
        <w:rPr>
          <w:sz w:val="28"/>
          <w:szCs w:val="28"/>
        </w:rPr>
      </w:pPr>
      <w:r w:rsidRPr="00DA574D">
        <w:rPr>
          <w:i/>
          <w:iCs/>
          <w:color w:val="555555"/>
          <w:sz w:val="28"/>
          <w:szCs w:val="28"/>
        </w:rPr>
        <w:t>Court of Appeal (England and Wales)</w:t>
      </w:r>
    </w:p>
    <w:p w14:paraId="4E2C6007" w14:textId="4D0FC331" w:rsidR="00ED2F03" w:rsidRPr="00DA574D" w:rsidRDefault="00ED2F03" w:rsidP="00DA574D">
      <w:pPr>
        <w:spacing w:before="700"/>
        <w:rPr>
          <w:sz w:val="28"/>
          <w:szCs w:val="28"/>
        </w:rPr>
      </w:pPr>
    </w:p>
    <w:p w14:paraId="2EE47B42" w14:textId="77777777" w:rsidR="00622601" w:rsidRDefault="00622601" w:rsidP="00622601">
      <w:pPr>
        <w:tabs>
          <w:tab w:val="left" w:pos="5544"/>
        </w:tabs>
        <w:spacing w:before="1600"/>
        <w:rPr>
          <w:sz w:val="24"/>
          <w:szCs w:val="24"/>
        </w:rPr>
      </w:pPr>
      <w:r>
        <w:rPr>
          <w:sz w:val="24"/>
          <w:szCs w:val="24"/>
        </w:rPr>
        <w:tab/>
      </w:r>
    </w:p>
    <w:p w14:paraId="13F60A89" w14:textId="77777777" w:rsidR="00622601" w:rsidRDefault="00622601" w:rsidP="00622601">
      <w:pPr>
        <w:tabs>
          <w:tab w:val="left" w:pos="5544"/>
        </w:tabs>
        <w:spacing w:before="1600"/>
        <w:rPr>
          <w:sz w:val="24"/>
          <w:szCs w:val="24"/>
        </w:rPr>
      </w:pPr>
    </w:p>
    <w:p w14:paraId="2DE9FF14" w14:textId="77777777" w:rsidR="00CB47DD" w:rsidRDefault="00622601" w:rsidP="00622601">
      <w:pPr>
        <w:tabs>
          <w:tab w:val="left" w:pos="5544"/>
        </w:tabs>
        <w:spacing w:before="1600"/>
        <w:rPr>
          <w:sz w:val="24"/>
          <w:szCs w:val="24"/>
        </w:rPr>
      </w:pPr>
      <w:r>
        <w:rPr>
          <w:sz w:val="24"/>
          <w:szCs w:val="24"/>
        </w:rPr>
        <w:t xml:space="preserve">                                        </w:t>
      </w:r>
    </w:p>
    <w:p w14:paraId="73A81534" w14:textId="00755657" w:rsidR="00063897" w:rsidRPr="00063897" w:rsidRDefault="00CB47DD" w:rsidP="00063897">
      <w:pPr>
        <w:tabs>
          <w:tab w:val="left" w:pos="5544"/>
        </w:tabs>
        <w:spacing w:before="1600"/>
        <w:rPr>
          <w:sz w:val="24"/>
          <w:szCs w:val="24"/>
        </w:rPr>
      </w:pPr>
      <w:r>
        <w:rPr>
          <w:sz w:val="24"/>
          <w:szCs w:val="24"/>
        </w:rPr>
        <w:t xml:space="preserve">                                                                                                                                                                          </w:t>
      </w:r>
      <w:r w:rsidR="00622601">
        <w:rPr>
          <w:sz w:val="24"/>
          <w:szCs w:val="24"/>
        </w:rPr>
        <w:t xml:space="preserve">    </w:t>
      </w:r>
      <w:r>
        <w:rPr>
          <w:sz w:val="24"/>
          <w:szCs w:val="24"/>
        </w:rPr>
        <w:t xml:space="preserve">              </w:t>
      </w:r>
    </w:p>
    <w:p w14:paraId="0160F889" w14:textId="1E04EED8" w:rsidR="00622601" w:rsidRDefault="00622601" w:rsidP="00622601">
      <w:pPr>
        <w:tabs>
          <w:tab w:val="left" w:pos="5544"/>
        </w:tabs>
        <w:spacing w:before="1600"/>
        <w:rPr>
          <w:sz w:val="24"/>
          <w:szCs w:val="24"/>
        </w:rPr>
      </w:pPr>
    </w:p>
    <w:p w14:paraId="32B81983" w14:textId="05D380E8" w:rsidR="00ED2F03" w:rsidRPr="00DA574D" w:rsidRDefault="00000000" w:rsidP="00CB47DD">
      <w:pPr>
        <w:rPr>
          <w:sz w:val="24"/>
          <w:szCs w:val="24"/>
        </w:rPr>
      </w:pPr>
      <w:r w:rsidRPr="00DA574D">
        <w:rPr>
          <w:b/>
          <w:bCs/>
          <w:color w:val="1F3864"/>
          <w:sz w:val="24"/>
          <w:szCs w:val="24"/>
        </w:rPr>
        <w:t>Table of Contents</w:t>
      </w:r>
    </w:p>
    <w:sdt>
      <w:sdtPr>
        <w:rPr>
          <w:sz w:val="24"/>
          <w:szCs w:val="24"/>
        </w:rPr>
        <w:alias w:val="Table of Contents"/>
        <w:id w:val="1972475463"/>
      </w:sdtPr>
      <w:sdtContent>
        <w:p w14:paraId="5BB77AEC" w14:textId="77777777" w:rsidR="00ED2F03" w:rsidRPr="00DA574D" w:rsidRDefault="00000000">
          <w:pPr>
            <w:rPr>
              <w:sz w:val="24"/>
              <w:szCs w:val="24"/>
            </w:rPr>
          </w:pPr>
          <w:r w:rsidRPr="00DA574D">
            <w:rPr>
              <w:sz w:val="24"/>
              <w:szCs w:val="24"/>
            </w:rPr>
            <w:fldChar w:fldCharType="begin"/>
          </w:r>
          <w:r w:rsidRPr="00DA574D">
            <w:rPr>
              <w:sz w:val="24"/>
              <w:szCs w:val="24"/>
            </w:rPr>
            <w:instrText>TOC \h \o "1-2"</w:instrText>
          </w:r>
          <w:r w:rsidRPr="00DA574D">
            <w:rPr>
              <w:sz w:val="24"/>
              <w:szCs w:val="24"/>
            </w:rPr>
            <w:fldChar w:fldCharType="separate"/>
          </w:r>
        </w:p>
        <w:p w14:paraId="28F3A2C0" w14:textId="77777777" w:rsidR="00ED2F03" w:rsidRPr="00DA574D" w:rsidRDefault="00000000">
          <w:pPr>
            <w:rPr>
              <w:sz w:val="24"/>
              <w:szCs w:val="24"/>
            </w:rPr>
          </w:pPr>
          <w:r w:rsidRPr="00DA574D">
            <w:rPr>
              <w:sz w:val="24"/>
              <w:szCs w:val="24"/>
            </w:rPr>
            <w:fldChar w:fldCharType="end"/>
          </w:r>
        </w:p>
      </w:sdtContent>
    </w:sdt>
    <w:p w14:paraId="25B7729F" w14:textId="77777777" w:rsidR="00ED2F03" w:rsidRPr="00DA574D" w:rsidRDefault="00000000">
      <w:pPr>
        <w:rPr>
          <w:sz w:val="24"/>
          <w:szCs w:val="24"/>
        </w:rPr>
      </w:pPr>
      <w:r w:rsidRPr="00DA574D">
        <w:rPr>
          <w:sz w:val="24"/>
          <w:szCs w:val="24"/>
        </w:rPr>
        <w:br w:type="page"/>
      </w:r>
    </w:p>
    <w:p w14:paraId="09B5138F" w14:textId="77777777" w:rsidR="00ED2F03" w:rsidRPr="00DA574D" w:rsidRDefault="00000000">
      <w:pPr>
        <w:pStyle w:val="Heading1"/>
        <w:pBdr>
          <w:bottom w:val="single" w:sz="6" w:space="4" w:color="1F3864"/>
        </w:pBdr>
        <w:spacing w:before="360" w:after="180"/>
        <w:rPr>
          <w:sz w:val="24"/>
          <w:szCs w:val="24"/>
        </w:rPr>
      </w:pPr>
      <w:r w:rsidRPr="00DA574D">
        <w:rPr>
          <w:b/>
          <w:bCs/>
          <w:color w:val="1F3864"/>
          <w:sz w:val="24"/>
          <w:szCs w:val="24"/>
        </w:rPr>
        <w:lastRenderedPageBreak/>
        <w:t>1. Introduction</w:t>
      </w:r>
    </w:p>
    <w:p w14:paraId="02BC079B" w14:textId="77777777" w:rsidR="00ED2F03" w:rsidRPr="00DA574D" w:rsidRDefault="00000000">
      <w:pPr>
        <w:spacing w:after="160" w:line="300" w:lineRule="auto"/>
        <w:jc w:val="both"/>
        <w:rPr>
          <w:sz w:val="24"/>
          <w:szCs w:val="24"/>
        </w:rPr>
      </w:pPr>
      <w:r w:rsidRPr="00DA574D">
        <w:rPr>
          <w:sz w:val="24"/>
          <w:szCs w:val="24"/>
        </w:rPr>
        <w:t>Balfour v Balfour [1919] 2 KB 571 is one of the most frequently cited decisions in English contract law and remains a cornerstone case for students studying the formation of contracts. Decided by the Court of Appeal in 1919, the case addresses a deceptively simple question: when does an agreement between two people give rise to a legally enforceable contract, and when does it remain a purely social or domestic understanding with no legal consequences at all?</w:t>
      </w:r>
    </w:p>
    <w:p w14:paraId="027C70B2" w14:textId="77777777" w:rsidR="00ED2F03" w:rsidRPr="00DA574D" w:rsidRDefault="00000000">
      <w:pPr>
        <w:spacing w:after="160" w:line="300" w:lineRule="auto"/>
        <w:jc w:val="both"/>
        <w:rPr>
          <w:sz w:val="24"/>
          <w:szCs w:val="24"/>
        </w:rPr>
      </w:pPr>
      <w:r w:rsidRPr="00DA574D">
        <w:rPr>
          <w:sz w:val="24"/>
          <w:szCs w:val="24"/>
        </w:rPr>
        <w:t>The case is significant not because of any complexity in its facts, but because of the clarity with which Atkin LJ articulated a principle that has since become a standard element of the modern law of contract — the requirement of an intention to create legal relations. Alongside offer, acceptance, and consideration, this fourth element determines whether a promise, however sincerely made, is one that the law will enforce.</w:t>
      </w:r>
    </w:p>
    <w:p w14:paraId="7AFC16A8" w14:textId="77777777" w:rsidR="00ED2F03" w:rsidRPr="00DA574D" w:rsidRDefault="00000000">
      <w:pPr>
        <w:spacing w:after="160" w:line="300" w:lineRule="auto"/>
        <w:jc w:val="both"/>
        <w:rPr>
          <w:sz w:val="24"/>
          <w:szCs w:val="24"/>
        </w:rPr>
      </w:pPr>
      <w:r w:rsidRPr="00DA574D">
        <w:rPr>
          <w:sz w:val="24"/>
          <w:szCs w:val="24"/>
        </w:rPr>
        <w:t>This analysis examines the facts, procedural history, judicial reasoning, and legal principles of Balfour v Balfour in detail, situates the decision within the broader doctrinal framework distinguishing domestic and commercial agreements, and traces its influence on subsequent case law, including Merritt v Balfour, Merritt v Merritt, and Edwards v Skyways. It concludes with an IRAC-style application of the case and a summary of key examination points.</w:t>
      </w:r>
    </w:p>
    <w:p w14:paraId="33FE327F" w14:textId="77777777" w:rsidR="00ED2F03" w:rsidRPr="00DA574D" w:rsidRDefault="00000000">
      <w:pPr>
        <w:pStyle w:val="Heading1"/>
        <w:pBdr>
          <w:bottom w:val="single" w:sz="6" w:space="4" w:color="1F3864"/>
        </w:pBdr>
        <w:spacing w:before="360" w:after="180"/>
        <w:rPr>
          <w:sz w:val="24"/>
          <w:szCs w:val="24"/>
        </w:rPr>
      </w:pPr>
      <w:r w:rsidRPr="00DA574D">
        <w:rPr>
          <w:b/>
          <w:bCs/>
          <w:color w:val="1F3864"/>
          <w:sz w:val="24"/>
          <w:szCs w:val="24"/>
        </w:rPr>
        <w:t>2. Case Facts</w:t>
      </w:r>
    </w:p>
    <w:p w14:paraId="39E41412" w14:textId="77777777" w:rsidR="00ED2F03" w:rsidRPr="00DA574D" w:rsidRDefault="00000000">
      <w:pPr>
        <w:pStyle w:val="Heading2"/>
        <w:spacing w:before="280" w:after="140"/>
        <w:rPr>
          <w:sz w:val="24"/>
          <w:szCs w:val="24"/>
        </w:rPr>
      </w:pPr>
      <w:r w:rsidRPr="00DA574D">
        <w:rPr>
          <w:b/>
          <w:bCs/>
          <w:color w:val="1F3864"/>
          <w:sz w:val="24"/>
          <w:szCs w:val="24"/>
        </w:rPr>
        <w:t>2.1 The Parties</w:t>
      </w:r>
    </w:p>
    <w:p w14:paraId="7DE2B986" w14:textId="77777777" w:rsidR="00ED2F03" w:rsidRPr="00DA574D" w:rsidRDefault="00000000">
      <w:pPr>
        <w:spacing w:after="160" w:line="300" w:lineRule="auto"/>
        <w:jc w:val="both"/>
        <w:rPr>
          <w:sz w:val="24"/>
          <w:szCs w:val="24"/>
        </w:rPr>
      </w:pPr>
      <w:r w:rsidRPr="00DA574D">
        <w:rPr>
          <w:sz w:val="24"/>
          <w:szCs w:val="24"/>
        </w:rPr>
        <w:t>The parties to the dispute were Mr. Balfour, a civil engineer employed by the Ceylon Irrigation Department, and Mrs. Balfour, his wife. The couple were married in 1900 and, for the greater part of their marriage, resided together in Ceylon (present-day Sri Lanka), where Mr. Balfour's professional duties were based.</w:t>
      </w:r>
    </w:p>
    <w:p w14:paraId="7DF4325A" w14:textId="77777777" w:rsidR="00ED2F03" w:rsidRPr="00DA574D" w:rsidRDefault="00000000">
      <w:pPr>
        <w:pStyle w:val="Heading2"/>
        <w:spacing w:before="280" w:after="140"/>
        <w:rPr>
          <w:sz w:val="24"/>
          <w:szCs w:val="24"/>
        </w:rPr>
      </w:pPr>
      <w:r w:rsidRPr="00DA574D">
        <w:rPr>
          <w:b/>
          <w:bCs/>
          <w:color w:val="1F3864"/>
          <w:sz w:val="24"/>
          <w:szCs w:val="24"/>
        </w:rPr>
        <w:t>2.2 Background and Timeline</w:t>
      </w:r>
    </w:p>
    <w:p w14:paraId="1C3C9D76" w14:textId="77777777" w:rsidR="00ED2F03" w:rsidRPr="00DA574D" w:rsidRDefault="00000000">
      <w:pPr>
        <w:pStyle w:val="ListParagraph"/>
        <w:numPr>
          <w:ilvl w:val="0"/>
          <w:numId w:val="2"/>
        </w:numPr>
        <w:spacing w:after="90" w:line="290" w:lineRule="auto"/>
        <w:rPr>
          <w:sz w:val="24"/>
          <w:szCs w:val="24"/>
        </w:rPr>
      </w:pPr>
      <w:r w:rsidRPr="00DA574D">
        <w:rPr>
          <w:sz w:val="24"/>
          <w:szCs w:val="24"/>
        </w:rPr>
        <w:t>1900 — Mr. and Mrs. Balfour marry and subsequently take up residence together in Ceylon in connection with Mr. Balfour's employment.</w:t>
      </w:r>
    </w:p>
    <w:p w14:paraId="5C716798" w14:textId="77777777" w:rsidR="00ED2F03" w:rsidRPr="00DA574D" w:rsidRDefault="00000000">
      <w:pPr>
        <w:pStyle w:val="ListParagraph"/>
        <w:numPr>
          <w:ilvl w:val="0"/>
          <w:numId w:val="2"/>
        </w:numPr>
        <w:spacing w:after="90" w:line="290" w:lineRule="auto"/>
        <w:rPr>
          <w:sz w:val="24"/>
          <w:szCs w:val="24"/>
        </w:rPr>
      </w:pPr>
      <w:r w:rsidRPr="00DA574D">
        <w:rPr>
          <w:sz w:val="24"/>
          <w:szCs w:val="24"/>
        </w:rPr>
        <w:t>1915 — The couple travel together to England, ostensibly for a period of leave and vacation.</w:t>
      </w:r>
    </w:p>
    <w:p w14:paraId="05A0271C" w14:textId="77777777" w:rsidR="00ED2F03" w:rsidRPr="00DA574D" w:rsidRDefault="00000000">
      <w:pPr>
        <w:pStyle w:val="ListParagraph"/>
        <w:numPr>
          <w:ilvl w:val="0"/>
          <w:numId w:val="2"/>
        </w:numPr>
        <w:spacing w:after="90" w:line="290" w:lineRule="auto"/>
        <w:rPr>
          <w:sz w:val="24"/>
          <w:szCs w:val="24"/>
        </w:rPr>
      </w:pPr>
      <w:r w:rsidRPr="00DA574D">
        <w:rPr>
          <w:sz w:val="24"/>
          <w:szCs w:val="24"/>
        </w:rPr>
        <w:t>During the visit — Mrs. Balfour falls ill, developing rheumatic arthritis, and her doctors advise that she should not return to the tropical climate of Ceylon and should instead remain in England to recuperate.</w:t>
      </w:r>
    </w:p>
    <w:p w14:paraId="6C091E6F" w14:textId="77777777" w:rsidR="00ED2F03" w:rsidRPr="00DA574D" w:rsidRDefault="00000000">
      <w:pPr>
        <w:pStyle w:val="ListParagraph"/>
        <w:numPr>
          <w:ilvl w:val="0"/>
          <w:numId w:val="2"/>
        </w:numPr>
        <w:spacing w:after="90" w:line="290" w:lineRule="auto"/>
        <w:rPr>
          <w:sz w:val="24"/>
          <w:szCs w:val="24"/>
        </w:rPr>
      </w:pPr>
      <w:r w:rsidRPr="00DA574D">
        <w:rPr>
          <w:sz w:val="24"/>
          <w:szCs w:val="24"/>
        </w:rPr>
        <w:t>1916 — Mr. Balfour's leave comes to an end and he is required to return to Ceylon to resume his post. Mrs. Balfour remains behind in England for medical reasons.</w:t>
      </w:r>
    </w:p>
    <w:p w14:paraId="34E16A2E" w14:textId="77777777" w:rsidR="00ED2F03" w:rsidRPr="00DA574D" w:rsidRDefault="00000000">
      <w:pPr>
        <w:pStyle w:val="ListParagraph"/>
        <w:numPr>
          <w:ilvl w:val="0"/>
          <w:numId w:val="2"/>
        </w:numPr>
        <w:spacing w:after="90" w:line="290" w:lineRule="auto"/>
        <w:rPr>
          <w:sz w:val="24"/>
          <w:szCs w:val="24"/>
        </w:rPr>
      </w:pPr>
      <w:r w:rsidRPr="00DA574D">
        <w:rPr>
          <w:sz w:val="24"/>
          <w:szCs w:val="24"/>
        </w:rPr>
        <w:t>Before his departure — Mr. Balfour orally promises to pay his wife £30 per month as maintenance for her support until such time as she is able to rejoin him in Ceylon.</w:t>
      </w:r>
    </w:p>
    <w:p w14:paraId="46B3493E" w14:textId="77777777" w:rsidR="00ED2F03" w:rsidRPr="00DA574D" w:rsidRDefault="00000000">
      <w:pPr>
        <w:pStyle w:val="ListParagraph"/>
        <w:numPr>
          <w:ilvl w:val="0"/>
          <w:numId w:val="2"/>
        </w:numPr>
        <w:spacing w:after="90" w:line="290" w:lineRule="auto"/>
        <w:rPr>
          <w:sz w:val="24"/>
          <w:szCs w:val="24"/>
        </w:rPr>
      </w:pPr>
      <w:r w:rsidRPr="00DA574D">
        <w:rPr>
          <w:sz w:val="24"/>
          <w:szCs w:val="24"/>
        </w:rPr>
        <w:lastRenderedPageBreak/>
        <w:t>Following his return — the relationship between the parties deteriorates. The couple begin to drift apart, and correspondence between them reflects growing estrangement.</w:t>
      </w:r>
    </w:p>
    <w:p w14:paraId="670DA3E4" w14:textId="77777777" w:rsidR="00ED2F03" w:rsidRPr="00DA574D" w:rsidRDefault="00000000">
      <w:pPr>
        <w:pStyle w:val="ListParagraph"/>
        <w:numPr>
          <w:ilvl w:val="0"/>
          <w:numId w:val="2"/>
        </w:numPr>
        <w:spacing w:after="90" w:line="290" w:lineRule="auto"/>
        <w:rPr>
          <w:sz w:val="24"/>
          <w:szCs w:val="24"/>
        </w:rPr>
      </w:pPr>
      <w:r w:rsidRPr="00DA574D">
        <w:rPr>
          <w:sz w:val="24"/>
          <w:szCs w:val="24"/>
        </w:rPr>
        <w:t>1918 — Mr. Balfour writes to his wife proposing that they live apart permanently. The parties subsequently separate, and divorce proceedings follow.</w:t>
      </w:r>
    </w:p>
    <w:p w14:paraId="11554FE7" w14:textId="77777777" w:rsidR="00ED2F03" w:rsidRPr="00DA574D" w:rsidRDefault="00000000">
      <w:pPr>
        <w:pStyle w:val="ListParagraph"/>
        <w:numPr>
          <w:ilvl w:val="0"/>
          <w:numId w:val="2"/>
        </w:numPr>
        <w:spacing w:after="90" w:line="290" w:lineRule="auto"/>
        <w:rPr>
          <w:sz w:val="24"/>
          <w:szCs w:val="24"/>
        </w:rPr>
      </w:pPr>
      <w:r w:rsidRPr="00DA574D">
        <w:rPr>
          <w:sz w:val="24"/>
          <w:szCs w:val="24"/>
        </w:rPr>
        <w:t>After the separation — Mr. Balfour ceases making the promised monthly payments of £30.</w:t>
      </w:r>
    </w:p>
    <w:p w14:paraId="10E6FDE1" w14:textId="77777777" w:rsidR="00ED2F03" w:rsidRPr="00DA574D" w:rsidRDefault="00000000">
      <w:pPr>
        <w:pStyle w:val="ListParagraph"/>
        <w:numPr>
          <w:ilvl w:val="0"/>
          <w:numId w:val="2"/>
        </w:numPr>
        <w:spacing w:after="90" w:line="290" w:lineRule="auto"/>
        <w:rPr>
          <w:sz w:val="24"/>
          <w:szCs w:val="24"/>
        </w:rPr>
      </w:pPr>
      <w:r w:rsidRPr="00DA574D">
        <w:rPr>
          <w:sz w:val="24"/>
          <w:szCs w:val="24"/>
        </w:rPr>
        <w:t>Mrs. Balfour sues her husband to recover the outstanding maintenance, asserting that his promise constituted a binding contract.</w:t>
      </w:r>
    </w:p>
    <w:p w14:paraId="08A6539E" w14:textId="77777777" w:rsidR="00ED2F03" w:rsidRPr="00DA574D" w:rsidRDefault="00000000">
      <w:pPr>
        <w:pStyle w:val="Heading2"/>
        <w:spacing w:before="280" w:after="140"/>
        <w:rPr>
          <w:sz w:val="24"/>
          <w:szCs w:val="24"/>
        </w:rPr>
      </w:pPr>
      <w:r w:rsidRPr="00DA574D">
        <w:rPr>
          <w:b/>
          <w:bCs/>
          <w:color w:val="1F3864"/>
          <w:sz w:val="24"/>
          <w:szCs w:val="24"/>
        </w:rPr>
        <w:t>2.3 Procedural History</w:t>
      </w:r>
    </w:p>
    <w:p w14:paraId="6FE294AF" w14:textId="77777777" w:rsidR="00ED2F03" w:rsidRPr="00DA574D" w:rsidRDefault="00000000">
      <w:pPr>
        <w:spacing w:after="160" w:line="300" w:lineRule="auto"/>
        <w:jc w:val="both"/>
        <w:rPr>
          <w:sz w:val="24"/>
          <w:szCs w:val="24"/>
        </w:rPr>
      </w:pPr>
      <w:r w:rsidRPr="00DA574D">
        <w:rPr>
          <w:sz w:val="24"/>
          <w:szCs w:val="24"/>
        </w:rPr>
        <w:t>At first instance, the trial judge (Sargant J, sitting at the Divisional Court) found in favour of Mrs. Balfour. The court held that a valid and binding contract existed between the parties, and that Mr. Balfour was accordingly liable to pay the promised sum of £30 per month. Mr. Balfour appealed against this decision to the Court of Appeal.</w:t>
      </w:r>
    </w:p>
    <w:p w14:paraId="626EF7EE" w14:textId="77777777" w:rsidR="00ED2F03" w:rsidRPr="00DA574D" w:rsidRDefault="00000000">
      <w:pPr>
        <w:spacing w:after="160" w:line="300" w:lineRule="auto"/>
        <w:jc w:val="both"/>
        <w:rPr>
          <w:sz w:val="24"/>
          <w:szCs w:val="24"/>
        </w:rPr>
      </w:pPr>
      <w:r w:rsidRPr="00DA574D">
        <w:rPr>
          <w:sz w:val="24"/>
          <w:szCs w:val="24"/>
        </w:rPr>
        <w:t>On appeal, the Court of Appeal unanimously reversed the decision of the court below. The leading judgment was delivered by Atkin LJ, with concurring judgments from Warrington LJ and Duke LJ. The appeal was allowed, and the claim was dismissed.</w:t>
      </w:r>
    </w:p>
    <w:p w14:paraId="562A5720" w14:textId="77777777" w:rsidR="00ED2F03" w:rsidRPr="00DA574D" w:rsidRDefault="00000000">
      <w:pPr>
        <w:pStyle w:val="Heading1"/>
        <w:pBdr>
          <w:bottom w:val="single" w:sz="6" w:space="4" w:color="1F3864"/>
        </w:pBdr>
        <w:spacing w:before="360" w:after="180"/>
        <w:rPr>
          <w:sz w:val="24"/>
          <w:szCs w:val="24"/>
        </w:rPr>
      </w:pPr>
      <w:r w:rsidRPr="00DA574D">
        <w:rPr>
          <w:b/>
          <w:bCs/>
          <w:color w:val="1F3864"/>
          <w:sz w:val="24"/>
          <w:szCs w:val="24"/>
        </w:rPr>
        <w:t>3. Issues Before the Court</w:t>
      </w:r>
    </w:p>
    <w:p w14:paraId="315D5585" w14:textId="77777777" w:rsidR="00ED2F03" w:rsidRPr="00DA574D" w:rsidRDefault="00000000">
      <w:pPr>
        <w:pStyle w:val="ListParagraph"/>
        <w:numPr>
          <w:ilvl w:val="0"/>
          <w:numId w:val="3"/>
        </w:numPr>
        <w:spacing w:after="90" w:line="290" w:lineRule="auto"/>
        <w:rPr>
          <w:sz w:val="24"/>
          <w:szCs w:val="24"/>
        </w:rPr>
      </w:pPr>
      <w:r w:rsidRPr="00DA574D">
        <w:rPr>
          <w:sz w:val="24"/>
          <w:szCs w:val="24"/>
        </w:rPr>
        <w:t>Did the arrangement between Mr. and Mrs. Balfour, whereby he promised to pay her £30 per month, satisfy the requirements of a binding contract under English law?</w:t>
      </w:r>
    </w:p>
    <w:p w14:paraId="64A6A28F" w14:textId="77777777" w:rsidR="00ED2F03" w:rsidRPr="00DA574D" w:rsidRDefault="00000000">
      <w:pPr>
        <w:pStyle w:val="ListParagraph"/>
        <w:numPr>
          <w:ilvl w:val="0"/>
          <w:numId w:val="3"/>
        </w:numPr>
        <w:spacing w:after="90" w:line="290" w:lineRule="auto"/>
        <w:rPr>
          <w:sz w:val="24"/>
          <w:szCs w:val="24"/>
        </w:rPr>
      </w:pPr>
      <w:r w:rsidRPr="00DA574D">
        <w:rPr>
          <w:sz w:val="24"/>
          <w:szCs w:val="24"/>
        </w:rPr>
        <w:t>More specifically, did the parties possess the requisite intention to create legal relations at the time the promise was made?</w:t>
      </w:r>
    </w:p>
    <w:p w14:paraId="67B74095" w14:textId="77777777" w:rsidR="00ED2F03" w:rsidRPr="00DA574D" w:rsidRDefault="00000000">
      <w:pPr>
        <w:pStyle w:val="ListParagraph"/>
        <w:numPr>
          <w:ilvl w:val="0"/>
          <w:numId w:val="3"/>
        </w:numPr>
        <w:spacing w:after="90" w:line="290" w:lineRule="auto"/>
        <w:rPr>
          <w:sz w:val="24"/>
          <w:szCs w:val="24"/>
        </w:rPr>
      </w:pPr>
      <w:r w:rsidRPr="00DA574D">
        <w:rPr>
          <w:sz w:val="24"/>
          <w:szCs w:val="24"/>
        </w:rPr>
        <w:t>Where the requisite elements of offer, acceptance, and consideration may technically be present, can an agreement nevertheless fail to be a contract for want of legal intent?</w:t>
      </w:r>
    </w:p>
    <w:p w14:paraId="7C357EE6" w14:textId="77777777" w:rsidR="00ED2F03" w:rsidRPr="00DA574D" w:rsidRDefault="00000000">
      <w:pPr>
        <w:pStyle w:val="ListParagraph"/>
        <w:numPr>
          <w:ilvl w:val="0"/>
          <w:numId w:val="3"/>
        </w:numPr>
        <w:spacing w:after="90" w:line="290" w:lineRule="auto"/>
        <w:rPr>
          <w:sz w:val="24"/>
          <w:szCs w:val="24"/>
        </w:rPr>
      </w:pPr>
      <w:r w:rsidRPr="00DA574D">
        <w:rPr>
          <w:sz w:val="24"/>
          <w:szCs w:val="24"/>
        </w:rPr>
        <w:t>What presumption, if any, should apply to promises exchanged between spouses living together in amity?</w:t>
      </w:r>
    </w:p>
    <w:p w14:paraId="2B52378A" w14:textId="77777777" w:rsidR="00ED2F03" w:rsidRPr="00DA574D" w:rsidRDefault="00000000">
      <w:pPr>
        <w:pStyle w:val="Heading1"/>
        <w:pBdr>
          <w:bottom w:val="single" w:sz="6" w:space="4" w:color="1F3864"/>
        </w:pBdr>
        <w:spacing w:before="360" w:after="180"/>
        <w:rPr>
          <w:sz w:val="24"/>
          <w:szCs w:val="24"/>
        </w:rPr>
      </w:pPr>
      <w:r w:rsidRPr="00DA574D">
        <w:rPr>
          <w:b/>
          <w:bCs/>
          <w:color w:val="1F3864"/>
          <w:sz w:val="24"/>
          <w:szCs w:val="24"/>
        </w:rPr>
        <w:t>4. Arguments of the Parties</w:t>
      </w:r>
    </w:p>
    <w:p w14:paraId="0C2977E3" w14:textId="77777777" w:rsidR="00ED2F03" w:rsidRPr="00DA574D" w:rsidRDefault="00000000">
      <w:pPr>
        <w:pStyle w:val="Heading2"/>
        <w:spacing w:before="280" w:after="140"/>
        <w:rPr>
          <w:sz w:val="24"/>
          <w:szCs w:val="24"/>
        </w:rPr>
      </w:pPr>
      <w:r w:rsidRPr="00DA574D">
        <w:rPr>
          <w:b/>
          <w:bCs/>
          <w:color w:val="1F3864"/>
          <w:sz w:val="24"/>
          <w:szCs w:val="24"/>
        </w:rPr>
        <w:t>4.1 Mrs. Balfour's Case (Respondent)</w:t>
      </w:r>
    </w:p>
    <w:p w14:paraId="2DE8EF45" w14:textId="77777777" w:rsidR="00ED2F03" w:rsidRPr="00DA574D" w:rsidRDefault="00000000">
      <w:pPr>
        <w:spacing w:after="160" w:line="300" w:lineRule="auto"/>
        <w:jc w:val="both"/>
        <w:rPr>
          <w:sz w:val="24"/>
          <w:szCs w:val="24"/>
        </w:rPr>
      </w:pPr>
      <w:r w:rsidRPr="00DA574D">
        <w:rPr>
          <w:sz w:val="24"/>
          <w:szCs w:val="24"/>
        </w:rPr>
        <w:t>Counsel for Mrs. Balfour argued that all the ordinary requirements of a valid contract were present: her husband had made a clear promise (offer) to pay a fixed sum each month; she had, in effect, accepted this arrangement by refraining from pressing for his continued support in Ceylon and by remaining in England in reliance on his undertaking; and consideration could be found in her forbearance to apply to the courts for maintenance, or alternatively in the mutual promises exchanged between husband and wife regarding her separate residence. On this basis, it was argued that a valid contract had come into existence and that the trial judge had correctly enforced it.</w:t>
      </w:r>
    </w:p>
    <w:p w14:paraId="5C2FFF8F" w14:textId="77777777" w:rsidR="00ED2F03" w:rsidRPr="00DA574D" w:rsidRDefault="00000000">
      <w:pPr>
        <w:pStyle w:val="Heading2"/>
        <w:spacing w:before="280" w:after="140"/>
        <w:rPr>
          <w:sz w:val="24"/>
          <w:szCs w:val="24"/>
        </w:rPr>
      </w:pPr>
      <w:r w:rsidRPr="00DA574D">
        <w:rPr>
          <w:b/>
          <w:bCs/>
          <w:color w:val="1F3864"/>
          <w:sz w:val="24"/>
          <w:szCs w:val="24"/>
        </w:rPr>
        <w:lastRenderedPageBreak/>
        <w:t>4.2 Mr. Balfour's Case (Appellant)</w:t>
      </w:r>
    </w:p>
    <w:p w14:paraId="386BF474" w14:textId="77777777" w:rsidR="00ED2F03" w:rsidRPr="00DA574D" w:rsidRDefault="00000000">
      <w:pPr>
        <w:spacing w:after="160" w:line="300" w:lineRule="auto"/>
        <w:jc w:val="both"/>
        <w:rPr>
          <w:sz w:val="24"/>
          <w:szCs w:val="24"/>
        </w:rPr>
      </w:pPr>
      <w:r w:rsidRPr="00DA574D">
        <w:rPr>
          <w:sz w:val="24"/>
          <w:szCs w:val="24"/>
        </w:rPr>
        <w:t>Counsel for Mr. Balfour argued that the arrangement was nothing more than a domestic and personal understanding between spouses living amicably together, made out of natural love and affection and a husband's moral duty to provide for his wife's maintenance. It was submitted that such arrangements are not, and were never intended by the parties to be, contracts in the legal sense. The promise was not made against a backdrop of negotiation or bargaining, nor was there any indication that either party contemplated the possibility of legal proceedings should the arrangement break down. Accordingly, an essential ingredient of contract — the intention to be legally bound — was absent.</w:t>
      </w:r>
    </w:p>
    <w:p w14:paraId="208DE860" w14:textId="77777777" w:rsidR="00ED2F03" w:rsidRPr="00DA574D" w:rsidRDefault="00000000">
      <w:pPr>
        <w:pStyle w:val="Heading1"/>
        <w:pBdr>
          <w:bottom w:val="single" w:sz="6" w:space="4" w:color="1F3864"/>
        </w:pBdr>
        <w:spacing w:before="360" w:after="180"/>
        <w:rPr>
          <w:sz w:val="24"/>
          <w:szCs w:val="24"/>
        </w:rPr>
      </w:pPr>
      <w:r w:rsidRPr="00DA574D">
        <w:rPr>
          <w:b/>
          <w:bCs/>
          <w:color w:val="1F3864"/>
          <w:sz w:val="24"/>
          <w:szCs w:val="24"/>
        </w:rPr>
        <w:t>5. Decision and Reasoning</w:t>
      </w:r>
    </w:p>
    <w:p w14:paraId="7F18635E" w14:textId="77777777" w:rsidR="00ED2F03" w:rsidRPr="00DA574D" w:rsidRDefault="00000000">
      <w:pPr>
        <w:pStyle w:val="Heading2"/>
        <w:spacing w:before="280" w:after="140"/>
        <w:rPr>
          <w:sz w:val="24"/>
          <w:szCs w:val="24"/>
        </w:rPr>
      </w:pPr>
      <w:r w:rsidRPr="00DA574D">
        <w:rPr>
          <w:b/>
          <w:bCs/>
          <w:color w:val="1F3864"/>
          <w:sz w:val="24"/>
          <w:szCs w:val="24"/>
        </w:rPr>
        <w:t>5.1 The Holding</w:t>
      </w:r>
    </w:p>
    <w:p w14:paraId="65A90BB3" w14:textId="77777777" w:rsidR="00ED2F03" w:rsidRPr="00DA574D" w:rsidRDefault="00000000">
      <w:pPr>
        <w:spacing w:after="160" w:line="300" w:lineRule="auto"/>
        <w:jc w:val="both"/>
        <w:rPr>
          <w:sz w:val="24"/>
          <w:szCs w:val="24"/>
        </w:rPr>
      </w:pPr>
      <w:r w:rsidRPr="00DA574D">
        <w:rPr>
          <w:sz w:val="24"/>
          <w:szCs w:val="24"/>
        </w:rPr>
        <w:t>The Court of Appeal held, unanimously, that no legally binding contract existed between Mr. and Mrs. Balfour. The appeal was allowed and Mrs. Balfour's claim was dismissed.</w:t>
      </w:r>
    </w:p>
    <w:p w14:paraId="2132CA4A" w14:textId="77777777" w:rsidR="00ED2F03" w:rsidRPr="00DA574D" w:rsidRDefault="00000000">
      <w:pPr>
        <w:pStyle w:val="Heading2"/>
        <w:spacing w:before="280" w:after="140"/>
        <w:rPr>
          <w:sz w:val="24"/>
          <w:szCs w:val="24"/>
        </w:rPr>
      </w:pPr>
      <w:r w:rsidRPr="00DA574D">
        <w:rPr>
          <w:b/>
          <w:bCs/>
          <w:color w:val="1F3864"/>
          <w:sz w:val="24"/>
          <w:szCs w:val="24"/>
        </w:rPr>
        <w:t>5.2 Judgment of Atkin LJ</w:t>
      </w:r>
    </w:p>
    <w:p w14:paraId="348740D1" w14:textId="77777777" w:rsidR="00ED2F03" w:rsidRPr="00DA574D" w:rsidRDefault="00000000">
      <w:pPr>
        <w:spacing w:after="160" w:line="300" w:lineRule="auto"/>
        <w:jc w:val="both"/>
        <w:rPr>
          <w:sz w:val="24"/>
          <w:szCs w:val="24"/>
        </w:rPr>
      </w:pPr>
      <w:r w:rsidRPr="00DA574D">
        <w:rPr>
          <w:sz w:val="24"/>
          <w:szCs w:val="24"/>
        </w:rPr>
        <w:t>The leading and most celebrated judgment was delivered by Atkin LJ, whose reasoning has come to define the doctrine of intention to create legal relations in English law. His Lordship began from the proposition that not every agreement, however definite its terms, amounts to a contract. Something more than offer, acceptance, and consideration is required: the parties must have intended their agreement to be attended by legal consequences.</w:t>
      </w:r>
    </w:p>
    <w:p w14:paraId="43CE53CA" w14:textId="77777777" w:rsidR="00ED2F03" w:rsidRPr="00DA574D" w:rsidRDefault="00000000">
      <w:pPr>
        <w:pBdr>
          <w:left w:val="single" w:sz="18" w:space="8" w:color="9C7A00"/>
        </w:pBdr>
        <w:spacing w:before="160" w:after="160"/>
        <w:ind w:left="500" w:right="500"/>
        <w:rPr>
          <w:sz w:val="24"/>
          <w:szCs w:val="24"/>
        </w:rPr>
      </w:pPr>
      <w:r w:rsidRPr="00DA574D">
        <w:rPr>
          <w:i/>
          <w:iCs/>
          <w:color w:val="444444"/>
          <w:sz w:val="24"/>
          <w:szCs w:val="24"/>
        </w:rPr>
        <w:t>“Agreements such as these are outside the realm of contracts altogether... they are not contracts because the parties did not intend that they should be attended by legal consequences.” — Atkin LJ</w:t>
      </w:r>
    </w:p>
    <w:p w14:paraId="5D713942" w14:textId="77777777" w:rsidR="00ED2F03" w:rsidRPr="00DA574D" w:rsidRDefault="00000000">
      <w:pPr>
        <w:spacing w:after="160" w:line="300" w:lineRule="auto"/>
        <w:jc w:val="both"/>
        <w:rPr>
          <w:sz w:val="24"/>
          <w:szCs w:val="24"/>
        </w:rPr>
      </w:pPr>
      <w:r w:rsidRPr="00DA574D">
        <w:rPr>
          <w:sz w:val="24"/>
          <w:szCs w:val="24"/>
        </w:rPr>
        <w:t>Atkin LJ observed that arrangements between husband and wife, made in the ordinary course of married life, are typically not contracts at all, however precisely worded, simply because the parties never intended them to be legally enforceable. He noted that the small courtesies, promises, and mutual arrangements that pass daily between spouses — such as an agreement about a housekeeping allowance or a promise to walk together — could not sensibly be treated as creating causes of action, for if they were, the ordinary courts would be overwhelmed with domestic litigation and family life would become unworkable.</w:t>
      </w:r>
    </w:p>
    <w:p w14:paraId="5BAE80C0" w14:textId="77777777" w:rsidR="00ED2F03" w:rsidRPr="00DA574D" w:rsidRDefault="00000000">
      <w:pPr>
        <w:spacing w:after="160" w:line="300" w:lineRule="auto"/>
        <w:jc w:val="both"/>
        <w:rPr>
          <w:sz w:val="24"/>
          <w:szCs w:val="24"/>
        </w:rPr>
      </w:pPr>
      <w:r w:rsidRPr="00DA574D">
        <w:rPr>
          <w:sz w:val="24"/>
          <w:szCs w:val="24"/>
        </w:rPr>
        <w:t>His Lordship further reasoned that the consideration alleged by Mrs. Balfour — her agreement to maintain herself without calling upon her husband for further support — arose out of, and was inseparable from, the natural love, affection, and mutual trust that exists between a husband and wife living together. Such consideration, arising purely from the domestic relationship, was not the kind of bargained-for exchange that the law of contract contemplates.</w:t>
      </w:r>
    </w:p>
    <w:p w14:paraId="508E358B" w14:textId="77777777" w:rsidR="00ED2F03" w:rsidRPr="00DA574D" w:rsidRDefault="00000000">
      <w:pPr>
        <w:pStyle w:val="Heading2"/>
        <w:spacing w:before="280" w:after="140"/>
        <w:rPr>
          <w:sz w:val="24"/>
          <w:szCs w:val="24"/>
        </w:rPr>
      </w:pPr>
      <w:r w:rsidRPr="00DA574D">
        <w:rPr>
          <w:b/>
          <w:bCs/>
          <w:color w:val="1F3864"/>
          <w:sz w:val="24"/>
          <w:szCs w:val="24"/>
        </w:rPr>
        <w:t>5.3 Judgment of Warrington LJ</w:t>
      </w:r>
    </w:p>
    <w:p w14:paraId="7AA8EFA2" w14:textId="77777777" w:rsidR="00ED2F03" w:rsidRPr="00DA574D" w:rsidRDefault="00000000">
      <w:pPr>
        <w:spacing w:after="160" w:line="300" w:lineRule="auto"/>
        <w:jc w:val="both"/>
        <w:rPr>
          <w:sz w:val="24"/>
          <w:szCs w:val="24"/>
        </w:rPr>
      </w:pPr>
      <w:r w:rsidRPr="00DA574D">
        <w:rPr>
          <w:sz w:val="24"/>
          <w:szCs w:val="24"/>
        </w:rPr>
        <w:lastRenderedPageBreak/>
        <w:t>Warrington LJ concurred in the result, holding that whatever might have been the position had the parties been living apart or on the point of separating at the time the promise was made, on the facts as they stood — with the couple still living together in amity — there was no evidence of any intention on either side to create a legally enforceable obligation. His Lordship emphasised that the promise was essentially an assurance of continued domestic support, not a bargain.</w:t>
      </w:r>
    </w:p>
    <w:p w14:paraId="3DFE0766" w14:textId="77777777" w:rsidR="00ED2F03" w:rsidRPr="00DA574D" w:rsidRDefault="00000000">
      <w:pPr>
        <w:pStyle w:val="Heading2"/>
        <w:spacing w:before="280" w:after="140"/>
        <w:rPr>
          <w:sz w:val="24"/>
          <w:szCs w:val="24"/>
        </w:rPr>
      </w:pPr>
      <w:r w:rsidRPr="00DA574D">
        <w:rPr>
          <w:b/>
          <w:bCs/>
          <w:color w:val="1F3864"/>
          <w:sz w:val="24"/>
          <w:szCs w:val="24"/>
        </w:rPr>
        <w:t>5.4 Judgment of Duke LJ</w:t>
      </w:r>
    </w:p>
    <w:p w14:paraId="556E9D1C" w14:textId="77777777" w:rsidR="00ED2F03" w:rsidRPr="00DA574D" w:rsidRDefault="00000000">
      <w:pPr>
        <w:spacing w:after="160" w:line="300" w:lineRule="auto"/>
        <w:jc w:val="both"/>
        <w:rPr>
          <w:sz w:val="24"/>
          <w:szCs w:val="24"/>
        </w:rPr>
      </w:pPr>
      <w:r w:rsidRPr="00DA574D">
        <w:rPr>
          <w:sz w:val="24"/>
          <w:szCs w:val="24"/>
        </w:rPr>
        <w:t>Duke LJ likewise agreed that the appeal should be allowed, observing that arrangements of this character between spouses are ordinarily to be regarded as matters of honour and affection rather than matters of legal obligation, and that it would be contrary to the understanding of ordinary people to treat every such domestic promise as creating a right of action enforceable in the courts.</w:t>
      </w:r>
    </w:p>
    <w:p w14:paraId="0F8E18D6" w14:textId="77777777" w:rsidR="00ED2F03" w:rsidRPr="00DA574D" w:rsidRDefault="00000000">
      <w:pPr>
        <w:pStyle w:val="Heading2"/>
        <w:spacing w:before="280" w:after="140"/>
        <w:rPr>
          <w:sz w:val="24"/>
          <w:szCs w:val="24"/>
        </w:rPr>
      </w:pPr>
      <w:r w:rsidRPr="00DA574D">
        <w:rPr>
          <w:b/>
          <w:bCs/>
          <w:color w:val="1F3864"/>
          <w:sz w:val="24"/>
          <w:szCs w:val="24"/>
        </w:rPr>
        <w:t>5.5 Elements of a Contract Applied</w:t>
      </w:r>
    </w:p>
    <w:p w14:paraId="595B7F2A" w14:textId="77777777" w:rsidR="00ED2F03" w:rsidRPr="00DA574D" w:rsidRDefault="00000000">
      <w:pPr>
        <w:spacing w:after="160" w:line="300" w:lineRule="auto"/>
        <w:jc w:val="both"/>
        <w:rPr>
          <w:sz w:val="24"/>
          <w:szCs w:val="24"/>
        </w:rPr>
      </w:pPr>
      <w:r w:rsidRPr="00DA574D">
        <w:rPr>
          <w:sz w:val="24"/>
          <w:szCs w:val="24"/>
        </w:rPr>
        <w:t>The judgment is frequently summarised by reference to the four elements said to be necessary for a binding contract, the last of which was found to be missing on the facts of Balfour v Balfour: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ED2F03" w:rsidRPr="00DA574D" w14:paraId="39B292F7"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262A5BA8" w14:textId="77777777" w:rsidR="00ED2F03" w:rsidRPr="00DA574D" w:rsidRDefault="00000000">
            <w:pPr>
              <w:rPr>
                <w:sz w:val="24"/>
                <w:szCs w:val="24"/>
              </w:rPr>
            </w:pPr>
            <w:r w:rsidRPr="00DA574D">
              <w:rPr>
                <w:b/>
                <w:bCs/>
                <w:color w:val="FFFFFF"/>
                <w:sz w:val="24"/>
                <w:szCs w:val="24"/>
              </w:rPr>
              <w:t>Element</w:t>
            </w:r>
          </w:p>
        </w:tc>
        <w:tc>
          <w:tcPr>
            <w:tcW w:w="7000" w:type="dxa"/>
            <w:shd w:val="clear" w:color="auto" w:fill="1F3864"/>
            <w:tcMar>
              <w:top w:w="100" w:type="dxa"/>
              <w:left w:w="120" w:type="dxa"/>
              <w:bottom w:w="100" w:type="dxa"/>
              <w:right w:w="120" w:type="dxa"/>
            </w:tcMar>
            <w:vAlign w:val="center"/>
          </w:tcPr>
          <w:p w14:paraId="420AF700" w14:textId="77777777" w:rsidR="00ED2F03" w:rsidRPr="00DA574D" w:rsidRDefault="00000000">
            <w:pPr>
              <w:rPr>
                <w:sz w:val="24"/>
                <w:szCs w:val="24"/>
              </w:rPr>
            </w:pPr>
            <w:r w:rsidRPr="00DA574D">
              <w:rPr>
                <w:b/>
                <w:bCs/>
                <w:color w:val="FFFFFF"/>
                <w:sz w:val="24"/>
                <w:szCs w:val="24"/>
              </w:rPr>
              <w:t>Position in Balfour v Balfour</w:t>
            </w:r>
          </w:p>
        </w:tc>
      </w:tr>
      <w:tr w:rsidR="00ED2F03" w:rsidRPr="00DA574D" w14:paraId="69B346BA"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12BCF103" w14:textId="77777777" w:rsidR="00ED2F03" w:rsidRPr="00DA574D" w:rsidRDefault="00000000">
            <w:pPr>
              <w:rPr>
                <w:sz w:val="24"/>
                <w:szCs w:val="24"/>
              </w:rPr>
            </w:pPr>
            <w:r w:rsidRPr="00DA574D">
              <w:rPr>
                <w:color w:val="000000"/>
                <w:sz w:val="24"/>
                <w:szCs w:val="24"/>
              </w:rPr>
              <w:t>Offer</w:t>
            </w:r>
          </w:p>
        </w:tc>
        <w:tc>
          <w:tcPr>
            <w:tcW w:w="7000" w:type="dxa"/>
            <w:tcMar>
              <w:top w:w="100" w:type="dxa"/>
              <w:left w:w="120" w:type="dxa"/>
              <w:bottom w:w="100" w:type="dxa"/>
              <w:right w:w="120" w:type="dxa"/>
            </w:tcMar>
            <w:vAlign w:val="center"/>
          </w:tcPr>
          <w:p w14:paraId="7576CD6A" w14:textId="77777777" w:rsidR="00ED2F03" w:rsidRPr="00DA574D" w:rsidRDefault="00000000">
            <w:pPr>
              <w:rPr>
                <w:sz w:val="24"/>
                <w:szCs w:val="24"/>
              </w:rPr>
            </w:pPr>
            <w:r w:rsidRPr="00DA574D">
              <w:rPr>
                <w:color w:val="000000"/>
                <w:sz w:val="24"/>
                <w:szCs w:val="24"/>
              </w:rPr>
              <w:t>Present — Mr. Balfour's promise to pay £30 per month.</w:t>
            </w:r>
          </w:p>
        </w:tc>
      </w:tr>
      <w:tr w:rsidR="00ED2F03" w:rsidRPr="00DA574D" w14:paraId="7824E745"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1DAD4B14" w14:textId="77777777" w:rsidR="00ED2F03" w:rsidRPr="00DA574D" w:rsidRDefault="00000000">
            <w:pPr>
              <w:rPr>
                <w:sz w:val="24"/>
                <w:szCs w:val="24"/>
              </w:rPr>
            </w:pPr>
            <w:r w:rsidRPr="00DA574D">
              <w:rPr>
                <w:color w:val="000000"/>
                <w:sz w:val="24"/>
                <w:szCs w:val="24"/>
              </w:rPr>
              <w:t>Acceptance</w:t>
            </w:r>
          </w:p>
        </w:tc>
        <w:tc>
          <w:tcPr>
            <w:tcW w:w="7000" w:type="dxa"/>
            <w:tcMar>
              <w:top w:w="100" w:type="dxa"/>
              <w:left w:w="120" w:type="dxa"/>
              <w:bottom w:w="100" w:type="dxa"/>
              <w:right w:w="120" w:type="dxa"/>
            </w:tcMar>
            <w:vAlign w:val="center"/>
          </w:tcPr>
          <w:p w14:paraId="1C25FB43" w14:textId="77777777" w:rsidR="00ED2F03" w:rsidRPr="00DA574D" w:rsidRDefault="00000000">
            <w:pPr>
              <w:rPr>
                <w:sz w:val="24"/>
                <w:szCs w:val="24"/>
              </w:rPr>
            </w:pPr>
            <w:r w:rsidRPr="00DA574D">
              <w:rPr>
                <w:color w:val="000000"/>
                <w:sz w:val="24"/>
                <w:szCs w:val="24"/>
              </w:rPr>
              <w:t>Arguably present — Mrs. Balfour proceeded on the basis of the arrangement.</w:t>
            </w:r>
          </w:p>
        </w:tc>
      </w:tr>
      <w:tr w:rsidR="00ED2F03" w:rsidRPr="00DA574D" w14:paraId="101CF4AE"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3AC9292B" w14:textId="77777777" w:rsidR="00ED2F03" w:rsidRPr="00DA574D" w:rsidRDefault="00000000">
            <w:pPr>
              <w:rPr>
                <w:sz w:val="24"/>
                <w:szCs w:val="24"/>
              </w:rPr>
            </w:pPr>
            <w:r w:rsidRPr="00DA574D">
              <w:rPr>
                <w:color w:val="000000"/>
                <w:sz w:val="24"/>
                <w:szCs w:val="24"/>
              </w:rPr>
              <w:t>Consideration</w:t>
            </w:r>
          </w:p>
        </w:tc>
        <w:tc>
          <w:tcPr>
            <w:tcW w:w="7000" w:type="dxa"/>
            <w:tcMar>
              <w:top w:w="100" w:type="dxa"/>
              <w:left w:w="120" w:type="dxa"/>
              <w:bottom w:w="100" w:type="dxa"/>
              <w:right w:w="120" w:type="dxa"/>
            </w:tcMar>
            <w:vAlign w:val="center"/>
          </w:tcPr>
          <w:p w14:paraId="523D2E10" w14:textId="77777777" w:rsidR="00ED2F03" w:rsidRPr="00DA574D" w:rsidRDefault="00000000">
            <w:pPr>
              <w:rPr>
                <w:sz w:val="24"/>
                <w:szCs w:val="24"/>
              </w:rPr>
            </w:pPr>
            <w:r w:rsidRPr="00DA574D">
              <w:rPr>
                <w:color w:val="000000"/>
                <w:sz w:val="24"/>
                <w:szCs w:val="24"/>
              </w:rPr>
              <w:t>Doubtful — any forbearance arose from the marital relationship itself rather than a genuine bargain.</w:t>
            </w:r>
          </w:p>
        </w:tc>
      </w:tr>
      <w:tr w:rsidR="00ED2F03" w:rsidRPr="00DA574D" w14:paraId="686D6D39" w14:textId="77777777">
        <w:tblPrEx>
          <w:tblCellMar>
            <w:top w:w="0" w:type="dxa"/>
            <w:bottom w:w="0" w:type="dxa"/>
          </w:tblCellMar>
        </w:tblPrEx>
        <w:tc>
          <w:tcPr>
            <w:tcW w:w="2200" w:type="dxa"/>
            <w:shd w:val="clear" w:color="auto" w:fill="FCE4D6"/>
            <w:tcMar>
              <w:top w:w="100" w:type="dxa"/>
              <w:left w:w="120" w:type="dxa"/>
              <w:bottom w:w="100" w:type="dxa"/>
              <w:right w:w="120" w:type="dxa"/>
            </w:tcMar>
            <w:vAlign w:val="center"/>
          </w:tcPr>
          <w:p w14:paraId="41E37B05" w14:textId="77777777" w:rsidR="00ED2F03" w:rsidRPr="00DA574D" w:rsidRDefault="00000000">
            <w:pPr>
              <w:rPr>
                <w:sz w:val="24"/>
                <w:szCs w:val="24"/>
              </w:rPr>
            </w:pPr>
            <w:r w:rsidRPr="00DA574D">
              <w:rPr>
                <w:b/>
                <w:bCs/>
                <w:color w:val="000000"/>
                <w:sz w:val="24"/>
                <w:szCs w:val="24"/>
              </w:rPr>
              <w:t>Intention to Create Legal Relations</w:t>
            </w:r>
          </w:p>
        </w:tc>
        <w:tc>
          <w:tcPr>
            <w:tcW w:w="7000" w:type="dxa"/>
            <w:tcMar>
              <w:top w:w="100" w:type="dxa"/>
              <w:left w:w="120" w:type="dxa"/>
              <w:bottom w:w="100" w:type="dxa"/>
              <w:right w:w="120" w:type="dxa"/>
            </w:tcMar>
            <w:vAlign w:val="center"/>
          </w:tcPr>
          <w:p w14:paraId="4EF3576A" w14:textId="77777777" w:rsidR="00ED2F03" w:rsidRPr="00DA574D" w:rsidRDefault="00000000">
            <w:pPr>
              <w:rPr>
                <w:sz w:val="24"/>
                <w:szCs w:val="24"/>
              </w:rPr>
            </w:pPr>
            <w:r w:rsidRPr="00DA574D">
              <w:rPr>
                <w:b/>
                <w:bCs/>
                <w:color w:val="000000"/>
                <w:sz w:val="24"/>
                <w:szCs w:val="24"/>
              </w:rPr>
              <w:t>Absent — the decisive missing element; the parties did not intend legal consequences.</w:t>
            </w:r>
          </w:p>
        </w:tc>
      </w:tr>
    </w:tbl>
    <w:p w14:paraId="49041D3E" w14:textId="77777777" w:rsidR="00ED2F03" w:rsidRPr="00DA574D" w:rsidRDefault="00ED2F03">
      <w:pPr>
        <w:spacing w:after="200"/>
        <w:rPr>
          <w:sz w:val="24"/>
          <w:szCs w:val="24"/>
        </w:rPr>
      </w:pPr>
    </w:p>
    <w:p w14:paraId="3DE29ED4" w14:textId="77777777" w:rsidR="00ED2F03" w:rsidRPr="00DA574D" w:rsidRDefault="00000000">
      <w:pPr>
        <w:pStyle w:val="Heading1"/>
        <w:pBdr>
          <w:bottom w:val="single" w:sz="6" w:space="4" w:color="1F3864"/>
        </w:pBdr>
        <w:spacing w:before="360" w:after="180"/>
        <w:rPr>
          <w:sz w:val="24"/>
          <w:szCs w:val="24"/>
        </w:rPr>
      </w:pPr>
      <w:r w:rsidRPr="00DA574D">
        <w:rPr>
          <w:b/>
          <w:bCs/>
          <w:color w:val="1F3864"/>
          <w:sz w:val="24"/>
          <w:szCs w:val="24"/>
        </w:rPr>
        <w:t>6. Legal Principles Established</w:t>
      </w:r>
    </w:p>
    <w:p w14:paraId="39F3F38C" w14:textId="77777777" w:rsidR="00ED2F03" w:rsidRPr="00DA574D" w:rsidRDefault="00000000">
      <w:pPr>
        <w:pStyle w:val="Heading2"/>
        <w:spacing w:before="280" w:after="140"/>
        <w:rPr>
          <w:sz w:val="24"/>
          <w:szCs w:val="24"/>
        </w:rPr>
      </w:pPr>
      <w:r w:rsidRPr="00DA574D">
        <w:rPr>
          <w:b/>
          <w:bCs/>
          <w:color w:val="1F3864"/>
          <w:sz w:val="24"/>
          <w:szCs w:val="24"/>
        </w:rPr>
        <w:t>6.1 The Presumption Against Legal Intent in Domestic Agreements</w:t>
      </w:r>
    </w:p>
    <w:p w14:paraId="5ED3151A" w14:textId="77777777" w:rsidR="00ED2F03" w:rsidRPr="00DA574D" w:rsidRDefault="00000000">
      <w:pPr>
        <w:spacing w:after="160" w:line="300" w:lineRule="auto"/>
        <w:jc w:val="both"/>
        <w:rPr>
          <w:sz w:val="24"/>
          <w:szCs w:val="24"/>
        </w:rPr>
      </w:pPr>
      <w:r w:rsidRPr="00DA574D">
        <w:rPr>
          <w:sz w:val="24"/>
          <w:szCs w:val="24"/>
        </w:rPr>
        <w:t>Balfour v Balfour establishes that, as a matter of policy and common experience, agreements made between family members or within a domestic setting carry a rebuttable presumption that the parties did not intend to create legal relations. This is not an irrebuttable rule of law but an evidentiary presumption that can be displaced where the surrounding circumstances show that the parties genuinely intended to be legally bound.</w:t>
      </w:r>
    </w:p>
    <w:p w14:paraId="62DD7F14" w14:textId="77777777" w:rsidR="00ED2F03" w:rsidRPr="00DA574D" w:rsidRDefault="00000000">
      <w:pPr>
        <w:pStyle w:val="Heading2"/>
        <w:spacing w:before="280" w:after="140"/>
        <w:rPr>
          <w:sz w:val="24"/>
          <w:szCs w:val="24"/>
        </w:rPr>
      </w:pPr>
      <w:r w:rsidRPr="00DA574D">
        <w:rPr>
          <w:b/>
          <w:bCs/>
          <w:color w:val="1F3864"/>
          <w:sz w:val="24"/>
          <w:szCs w:val="24"/>
        </w:rPr>
        <w:t>6.2 The Domestic/Commercial Distinction</w:t>
      </w:r>
    </w:p>
    <w:p w14:paraId="66610D09" w14:textId="77777777" w:rsidR="00ED2F03" w:rsidRPr="00DA574D" w:rsidRDefault="00000000">
      <w:pPr>
        <w:spacing w:after="160" w:line="300" w:lineRule="auto"/>
        <w:jc w:val="both"/>
        <w:rPr>
          <w:sz w:val="24"/>
          <w:szCs w:val="24"/>
        </w:rPr>
      </w:pPr>
      <w:r w:rsidRPr="00DA574D">
        <w:rPr>
          <w:sz w:val="24"/>
          <w:szCs w:val="24"/>
        </w:rPr>
        <w:t>The case is best understood as one half of a broader doctrinal divide in English contract law: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ED2F03" w:rsidRPr="00DA574D" w14:paraId="12A70DF5" w14:textId="77777777">
        <w:tblPrEx>
          <w:tblCellMar>
            <w:top w:w="0" w:type="dxa"/>
            <w:bottom w:w="0" w:type="dxa"/>
          </w:tblCellMar>
        </w:tblPrEx>
        <w:trPr>
          <w:tblHeader/>
        </w:trPr>
        <w:tc>
          <w:tcPr>
            <w:tcW w:w="4600" w:type="dxa"/>
            <w:shd w:val="clear" w:color="auto" w:fill="1F3864"/>
            <w:tcMar>
              <w:top w:w="100" w:type="dxa"/>
              <w:left w:w="120" w:type="dxa"/>
              <w:bottom w:w="100" w:type="dxa"/>
              <w:right w:w="120" w:type="dxa"/>
            </w:tcMar>
            <w:vAlign w:val="center"/>
          </w:tcPr>
          <w:p w14:paraId="343E0C41" w14:textId="77777777" w:rsidR="00ED2F03" w:rsidRPr="00DA574D" w:rsidRDefault="00000000">
            <w:pPr>
              <w:rPr>
                <w:sz w:val="24"/>
                <w:szCs w:val="24"/>
              </w:rPr>
            </w:pPr>
            <w:r w:rsidRPr="00DA574D">
              <w:rPr>
                <w:b/>
                <w:bCs/>
                <w:color w:val="FFFFFF"/>
                <w:sz w:val="24"/>
                <w:szCs w:val="24"/>
              </w:rPr>
              <w:lastRenderedPageBreak/>
              <w:t>Domestic / Social Agreements</w:t>
            </w:r>
          </w:p>
        </w:tc>
        <w:tc>
          <w:tcPr>
            <w:tcW w:w="4600" w:type="dxa"/>
            <w:shd w:val="clear" w:color="auto" w:fill="1F3864"/>
            <w:tcMar>
              <w:top w:w="100" w:type="dxa"/>
              <w:left w:w="120" w:type="dxa"/>
              <w:bottom w:w="100" w:type="dxa"/>
              <w:right w:w="120" w:type="dxa"/>
            </w:tcMar>
            <w:vAlign w:val="center"/>
          </w:tcPr>
          <w:p w14:paraId="4B68E85D" w14:textId="77777777" w:rsidR="00ED2F03" w:rsidRPr="00DA574D" w:rsidRDefault="00000000">
            <w:pPr>
              <w:rPr>
                <w:sz w:val="24"/>
                <w:szCs w:val="24"/>
              </w:rPr>
            </w:pPr>
            <w:r w:rsidRPr="00DA574D">
              <w:rPr>
                <w:b/>
                <w:bCs/>
                <w:color w:val="FFFFFF"/>
                <w:sz w:val="24"/>
                <w:szCs w:val="24"/>
              </w:rPr>
              <w:t>Commercial / Business Agreements</w:t>
            </w:r>
          </w:p>
        </w:tc>
      </w:tr>
      <w:tr w:rsidR="00ED2F03" w:rsidRPr="00DA574D" w14:paraId="1E7A39CB" w14:textId="77777777">
        <w:tblPrEx>
          <w:tblCellMar>
            <w:top w:w="0" w:type="dxa"/>
            <w:bottom w:w="0" w:type="dxa"/>
          </w:tblCellMar>
        </w:tblPrEx>
        <w:tc>
          <w:tcPr>
            <w:tcW w:w="4600" w:type="dxa"/>
            <w:shd w:val="clear" w:color="auto" w:fill="F2F2F2"/>
            <w:tcMar>
              <w:top w:w="100" w:type="dxa"/>
              <w:left w:w="120" w:type="dxa"/>
              <w:bottom w:w="100" w:type="dxa"/>
              <w:right w:w="120" w:type="dxa"/>
            </w:tcMar>
            <w:vAlign w:val="center"/>
          </w:tcPr>
          <w:p w14:paraId="2DCF1F23" w14:textId="77777777" w:rsidR="00ED2F03" w:rsidRPr="00DA574D" w:rsidRDefault="00000000">
            <w:pPr>
              <w:rPr>
                <w:sz w:val="24"/>
                <w:szCs w:val="24"/>
              </w:rPr>
            </w:pPr>
            <w:r w:rsidRPr="00DA574D">
              <w:rPr>
                <w:color w:val="000000"/>
                <w:sz w:val="24"/>
                <w:szCs w:val="24"/>
              </w:rPr>
              <w:t>Presumption AGAINST legal intent.</w:t>
            </w:r>
          </w:p>
        </w:tc>
        <w:tc>
          <w:tcPr>
            <w:tcW w:w="4600" w:type="dxa"/>
            <w:shd w:val="clear" w:color="auto" w:fill="F2F2F2"/>
            <w:tcMar>
              <w:top w:w="100" w:type="dxa"/>
              <w:left w:w="120" w:type="dxa"/>
              <w:bottom w:w="100" w:type="dxa"/>
              <w:right w:w="120" w:type="dxa"/>
            </w:tcMar>
            <w:vAlign w:val="center"/>
          </w:tcPr>
          <w:p w14:paraId="7DEA3EDA" w14:textId="77777777" w:rsidR="00ED2F03" w:rsidRPr="00DA574D" w:rsidRDefault="00000000">
            <w:pPr>
              <w:rPr>
                <w:sz w:val="24"/>
                <w:szCs w:val="24"/>
              </w:rPr>
            </w:pPr>
            <w:r w:rsidRPr="00DA574D">
              <w:rPr>
                <w:color w:val="000000"/>
                <w:sz w:val="24"/>
                <w:szCs w:val="24"/>
              </w:rPr>
              <w:t>Presumption IN FAVOUR of legal intent.</w:t>
            </w:r>
          </w:p>
        </w:tc>
      </w:tr>
      <w:tr w:rsidR="00ED2F03" w:rsidRPr="00DA574D" w14:paraId="43E36331" w14:textId="77777777">
        <w:tblPrEx>
          <w:tblCellMar>
            <w:top w:w="0" w:type="dxa"/>
            <w:bottom w:w="0" w:type="dxa"/>
          </w:tblCellMar>
        </w:tblPrEx>
        <w:tc>
          <w:tcPr>
            <w:tcW w:w="4600" w:type="dxa"/>
            <w:tcMar>
              <w:top w:w="100" w:type="dxa"/>
              <w:left w:w="120" w:type="dxa"/>
              <w:bottom w:w="100" w:type="dxa"/>
              <w:right w:w="120" w:type="dxa"/>
            </w:tcMar>
            <w:vAlign w:val="center"/>
          </w:tcPr>
          <w:p w14:paraId="5207D951" w14:textId="77777777" w:rsidR="00ED2F03" w:rsidRPr="00DA574D" w:rsidRDefault="00000000">
            <w:pPr>
              <w:rPr>
                <w:sz w:val="24"/>
                <w:szCs w:val="24"/>
              </w:rPr>
            </w:pPr>
            <w:r w:rsidRPr="00DA574D">
              <w:rPr>
                <w:color w:val="000000"/>
                <w:sz w:val="24"/>
                <w:szCs w:val="24"/>
              </w:rPr>
              <w:t>Leading case: Balfour v Balfour [1919].</w:t>
            </w:r>
          </w:p>
        </w:tc>
        <w:tc>
          <w:tcPr>
            <w:tcW w:w="4600" w:type="dxa"/>
            <w:tcMar>
              <w:top w:w="100" w:type="dxa"/>
              <w:left w:w="120" w:type="dxa"/>
              <w:bottom w:w="100" w:type="dxa"/>
              <w:right w:w="120" w:type="dxa"/>
            </w:tcMar>
            <w:vAlign w:val="center"/>
          </w:tcPr>
          <w:p w14:paraId="1228D796" w14:textId="77777777" w:rsidR="00ED2F03" w:rsidRPr="00DA574D" w:rsidRDefault="00000000">
            <w:pPr>
              <w:rPr>
                <w:sz w:val="24"/>
                <w:szCs w:val="24"/>
              </w:rPr>
            </w:pPr>
            <w:r w:rsidRPr="00DA574D">
              <w:rPr>
                <w:color w:val="000000"/>
                <w:sz w:val="24"/>
                <w:szCs w:val="24"/>
              </w:rPr>
              <w:t>Leading case: Edwards v Skyways Ltd [1964].</w:t>
            </w:r>
          </w:p>
        </w:tc>
      </w:tr>
      <w:tr w:rsidR="00ED2F03" w:rsidRPr="00DA574D" w14:paraId="015D0F6B" w14:textId="77777777">
        <w:tblPrEx>
          <w:tblCellMar>
            <w:top w:w="0" w:type="dxa"/>
            <w:bottom w:w="0" w:type="dxa"/>
          </w:tblCellMar>
        </w:tblPrEx>
        <w:tc>
          <w:tcPr>
            <w:tcW w:w="4600" w:type="dxa"/>
            <w:shd w:val="clear" w:color="auto" w:fill="F2F2F2"/>
            <w:tcMar>
              <w:top w:w="100" w:type="dxa"/>
              <w:left w:w="120" w:type="dxa"/>
              <w:bottom w:w="100" w:type="dxa"/>
              <w:right w:w="120" w:type="dxa"/>
            </w:tcMar>
            <w:vAlign w:val="center"/>
          </w:tcPr>
          <w:p w14:paraId="05613681" w14:textId="77777777" w:rsidR="00ED2F03" w:rsidRPr="00DA574D" w:rsidRDefault="00000000">
            <w:pPr>
              <w:rPr>
                <w:sz w:val="24"/>
                <w:szCs w:val="24"/>
              </w:rPr>
            </w:pPr>
            <w:r w:rsidRPr="00DA574D">
              <w:rPr>
                <w:color w:val="000000"/>
                <w:sz w:val="24"/>
                <w:szCs w:val="24"/>
              </w:rPr>
              <w:t>Rebutted where relationship has broken down: Merritt v Merritt [1970].</w:t>
            </w:r>
          </w:p>
        </w:tc>
        <w:tc>
          <w:tcPr>
            <w:tcW w:w="4600" w:type="dxa"/>
            <w:shd w:val="clear" w:color="auto" w:fill="F2F2F2"/>
            <w:tcMar>
              <w:top w:w="100" w:type="dxa"/>
              <w:left w:w="120" w:type="dxa"/>
              <w:bottom w:w="100" w:type="dxa"/>
              <w:right w:w="120" w:type="dxa"/>
            </w:tcMar>
            <w:vAlign w:val="center"/>
          </w:tcPr>
          <w:p w14:paraId="7D74B552" w14:textId="77777777" w:rsidR="00ED2F03" w:rsidRPr="00DA574D" w:rsidRDefault="00000000">
            <w:pPr>
              <w:rPr>
                <w:sz w:val="24"/>
                <w:szCs w:val="24"/>
              </w:rPr>
            </w:pPr>
            <w:r w:rsidRPr="00DA574D">
              <w:rPr>
                <w:color w:val="000000"/>
                <w:sz w:val="24"/>
                <w:szCs w:val="24"/>
              </w:rPr>
              <w:t>Rebutted only by clear, express words disclaiming legal effect (e.g. “binding in honour only”).</w:t>
            </w:r>
          </w:p>
        </w:tc>
      </w:tr>
    </w:tbl>
    <w:p w14:paraId="6A251C76" w14:textId="77777777" w:rsidR="00ED2F03" w:rsidRPr="00DA574D" w:rsidRDefault="00ED2F03">
      <w:pPr>
        <w:spacing w:after="200"/>
        <w:rPr>
          <w:sz w:val="24"/>
          <w:szCs w:val="24"/>
        </w:rPr>
      </w:pPr>
    </w:p>
    <w:p w14:paraId="2CC1DB99" w14:textId="77777777" w:rsidR="00ED2F03" w:rsidRPr="00DA574D" w:rsidRDefault="00000000">
      <w:pPr>
        <w:pStyle w:val="Heading2"/>
        <w:spacing w:before="280" w:after="140"/>
        <w:rPr>
          <w:sz w:val="24"/>
          <w:szCs w:val="24"/>
        </w:rPr>
      </w:pPr>
      <w:r w:rsidRPr="00DA574D">
        <w:rPr>
          <w:b/>
          <w:bCs/>
          <w:color w:val="1F3864"/>
          <w:sz w:val="24"/>
          <w:szCs w:val="24"/>
        </w:rPr>
        <w:t>6.3 Rationale for the Presumption</w:t>
      </w:r>
    </w:p>
    <w:p w14:paraId="24123DC6" w14:textId="77777777" w:rsidR="00ED2F03" w:rsidRPr="00DA574D" w:rsidRDefault="00000000">
      <w:pPr>
        <w:pStyle w:val="ListParagraph"/>
        <w:numPr>
          <w:ilvl w:val="0"/>
          <w:numId w:val="2"/>
        </w:numPr>
        <w:spacing w:after="90" w:line="290" w:lineRule="auto"/>
        <w:rPr>
          <w:sz w:val="24"/>
          <w:szCs w:val="24"/>
        </w:rPr>
      </w:pPr>
      <w:r w:rsidRPr="00DA574D">
        <w:rPr>
          <w:sz w:val="24"/>
          <w:szCs w:val="24"/>
        </w:rPr>
        <w:t>Judicial economy — courts should not be burdened with adjudicating the countless informal promises exchanged daily within families.</w:t>
      </w:r>
    </w:p>
    <w:p w14:paraId="6AD88974" w14:textId="77777777" w:rsidR="00ED2F03" w:rsidRPr="00DA574D" w:rsidRDefault="00000000">
      <w:pPr>
        <w:pStyle w:val="ListParagraph"/>
        <w:numPr>
          <w:ilvl w:val="0"/>
          <w:numId w:val="2"/>
        </w:numPr>
        <w:spacing w:after="90" w:line="290" w:lineRule="auto"/>
        <w:rPr>
          <w:sz w:val="24"/>
          <w:szCs w:val="24"/>
        </w:rPr>
      </w:pPr>
      <w:r w:rsidRPr="00DA574D">
        <w:rPr>
          <w:sz w:val="24"/>
          <w:szCs w:val="24"/>
        </w:rPr>
        <w:t>Respect for the private, non-commercial character of domestic life and the inappropriateness of imposing legal formality on relationships built on trust and affection.</w:t>
      </w:r>
    </w:p>
    <w:p w14:paraId="101E0DA5" w14:textId="77777777" w:rsidR="00ED2F03" w:rsidRPr="00DA574D" w:rsidRDefault="00000000">
      <w:pPr>
        <w:pStyle w:val="ListParagraph"/>
        <w:numPr>
          <w:ilvl w:val="0"/>
          <w:numId w:val="2"/>
        </w:numPr>
        <w:spacing w:after="90" w:line="290" w:lineRule="auto"/>
        <w:rPr>
          <w:sz w:val="24"/>
          <w:szCs w:val="24"/>
        </w:rPr>
      </w:pPr>
      <w:r w:rsidRPr="00DA574D">
        <w:rPr>
          <w:sz w:val="24"/>
          <w:szCs w:val="24"/>
        </w:rPr>
        <w:t>Practical difficulty of proof — domestic arrangements are rarely made with the precision, formality, or documentary record typical of commercial bargains.</w:t>
      </w:r>
    </w:p>
    <w:p w14:paraId="6BFE38FF" w14:textId="77777777" w:rsidR="00ED2F03" w:rsidRPr="00DA574D" w:rsidRDefault="00000000">
      <w:pPr>
        <w:pStyle w:val="ListParagraph"/>
        <w:numPr>
          <w:ilvl w:val="0"/>
          <w:numId w:val="2"/>
        </w:numPr>
        <w:spacing w:after="90" w:line="290" w:lineRule="auto"/>
        <w:rPr>
          <w:sz w:val="24"/>
          <w:szCs w:val="24"/>
        </w:rPr>
      </w:pPr>
      <w:r w:rsidRPr="00DA574D">
        <w:rPr>
          <w:sz w:val="24"/>
          <w:szCs w:val="24"/>
        </w:rPr>
        <w:t>Preservation of family autonomy — allowing courts into ordinary domestic decision-making could distort or interfere with the private ordering of family life.</w:t>
      </w:r>
    </w:p>
    <w:p w14:paraId="12DD8879" w14:textId="77777777" w:rsidR="00ED2F03" w:rsidRPr="00DA574D" w:rsidRDefault="00000000">
      <w:pPr>
        <w:pStyle w:val="Heading1"/>
        <w:pBdr>
          <w:bottom w:val="single" w:sz="6" w:space="4" w:color="1F3864"/>
        </w:pBdr>
        <w:spacing w:before="360" w:after="180"/>
        <w:rPr>
          <w:sz w:val="24"/>
          <w:szCs w:val="24"/>
        </w:rPr>
      </w:pPr>
      <w:r w:rsidRPr="00DA574D">
        <w:rPr>
          <w:b/>
          <w:bCs/>
          <w:color w:val="1F3864"/>
          <w:sz w:val="24"/>
          <w:szCs w:val="24"/>
        </w:rPr>
        <w:t>7. Subsequent Case Law and Distinguishing Authorities</w:t>
      </w:r>
    </w:p>
    <w:p w14:paraId="57C94AEB" w14:textId="77777777" w:rsidR="00ED2F03" w:rsidRPr="00DA574D" w:rsidRDefault="00000000">
      <w:pPr>
        <w:pStyle w:val="Heading2"/>
        <w:spacing w:before="280" w:after="140"/>
        <w:rPr>
          <w:sz w:val="24"/>
          <w:szCs w:val="24"/>
        </w:rPr>
      </w:pPr>
      <w:r w:rsidRPr="00DA574D">
        <w:rPr>
          <w:b/>
          <w:bCs/>
          <w:color w:val="1F3864"/>
          <w:sz w:val="24"/>
          <w:szCs w:val="24"/>
        </w:rPr>
        <w:t>7.1 Merritt v Merritt [1970] 1 WLR 1211</w:t>
      </w:r>
    </w:p>
    <w:p w14:paraId="604C05B7" w14:textId="77777777" w:rsidR="00ED2F03" w:rsidRPr="00DA574D" w:rsidRDefault="00000000">
      <w:pPr>
        <w:spacing w:after="160" w:line="300" w:lineRule="auto"/>
        <w:jc w:val="both"/>
        <w:rPr>
          <w:sz w:val="24"/>
          <w:szCs w:val="24"/>
        </w:rPr>
      </w:pPr>
      <w:r w:rsidRPr="00DA574D">
        <w:rPr>
          <w:sz w:val="24"/>
          <w:szCs w:val="24"/>
        </w:rPr>
        <w:t>In Merritt v Merritt, a husband and wife who were already separated entered into a written agreement, signed by both parties, under which the husband agreed to transfer the matrimonial home to the wife's sole ownership if she continued to pay the outstanding mortgage instalments. The Court of Appeal held this agreement was enforceable, distinguishing Balfour v Balfour on the basis that the parties were no longer living together in amity but were in fact separated and openly dealing with one another at arm's length. The written and signed nature of the agreement was treated as strong evidence that the parties intended to create legal relations.</w:t>
      </w:r>
    </w:p>
    <w:p w14:paraId="5F843058" w14:textId="77777777" w:rsidR="00ED2F03" w:rsidRPr="00DA574D" w:rsidRDefault="00000000">
      <w:pPr>
        <w:pStyle w:val="Heading2"/>
        <w:spacing w:before="280" w:after="140"/>
        <w:rPr>
          <w:sz w:val="24"/>
          <w:szCs w:val="24"/>
        </w:rPr>
      </w:pPr>
      <w:r w:rsidRPr="00DA574D">
        <w:rPr>
          <w:b/>
          <w:bCs/>
          <w:color w:val="1F3864"/>
          <w:sz w:val="24"/>
          <w:szCs w:val="24"/>
        </w:rPr>
        <w:t>7.2 Edwards v Skyways Ltd [1964] 1 WLR 349</w:t>
      </w:r>
    </w:p>
    <w:p w14:paraId="6D3F8B43" w14:textId="77777777" w:rsidR="00ED2F03" w:rsidRPr="00DA574D" w:rsidRDefault="00000000">
      <w:pPr>
        <w:spacing w:after="160" w:line="300" w:lineRule="auto"/>
        <w:jc w:val="both"/>
        <w:rPr>
          <w:sz w:val="24"/>
          <w:szCs w:val="24"/>
        </w:rPr>
      </w:pPr>
      <w:r w:rsidRPr="00DA574D">
        <w:rPr>
          <w:sz w:val="24"/>
          <w:szCs w:val="24"/>
        </w:rPr>
        <w:t>Edwards v Skyways illustrates the contrasting presumption applicable to agreements made in a business or employment context. There, an employer's promise to make an “ex gratia” redundancy payment to a pilot was held to be legally binding, the court finding that in commercial dealings there is a strong presumption that parties do intend their agreements to have legal effect, and that this presumption is not easily displaced merely by the use of words such as “ex gratia.”</w:t>
      </w:r>
    </w:p>
    <w:p w14:paraId="39CE8DBD" w14:textId="77777777" w:rsidR="00ED2F03" w:rsidRPr="00DA574D" w:rsidRDefault="00000000">
      <w:pPr>
        <w:pStyle w:val="Heading2"/>
        <w:spacing w:before="280" w:after="140"/>
        <w:rPr>
          <w:sz w:val="24"/>
          <w:szCs w:val="24"/>
        </w:rPr>
      </w:pPr>
      <w:r w:rsidRPr="00DA574D">
        <w:rPr>
          <w:b/>
          <w:bCs/>
          <w:color w:val="1F3864"/>
          <w:sz w:val="24"/>
          <w:szCs w:val="24"/>
        </w:rPr>
        <w:t xml:space="preserve">7.3 Jones v </w:t>
      </w:r>
      <w:proofErr w:type="spellStart"/>
      <w:r w:rsidRPr="00DA574D">
        <w:rPr>
          <w:b/>
          <w:bCs/>
          <w:color w:val="1F3864"/>
          <w:sz w:val="24"/>
          <w:szCs w:val="24"/>
        </w:rPr>
        <w:t>Padavatton</w:t>
      </w:r>
      <w:proofErr w:type="spellEnd"/>
      <w:r w:rsidRPr="00DA574D">
        <w:rPr>
          <w:b/>
          <w:bCs/>
          <w:color w:val="1F3864"/>
          <w:sz w:val="24"/>
          <w:szCs w:val="24"/>
        </w:rPr>
        <w:t xml:space="preserve"> [1969] 1 WLR 328</w:t>
      </w:r>
    </w:p>
    <w:p w14:paraId="44206400" w14:textId="77777777" w:rsidR="00ED2F03" w:rsidRPr="00DA574D" w:rsidRDefault="00000000">
      <w:pPr>
        <w:spacing w:after="160" w:line="300" w:lineRule="auto"/>
        <w:jc w:val="both"/>
        <w:rPr>
          <w:sz w:val="24"/>
          <w:szCs w:val="24"/>
        </w:rPr>
      </w:pPr>
      <w:r w:rsidRPr="00DA574D">
        <w:rPr>
          <w:sz w:val="24"/>
          <w:szCs w:val="24"/>
        </w:rPr>
        <w:lastRenderedPageBreak/>
        <w:t>This case applied the Balfour presumption to an agreement between a mother and daughter. The mother had promised to pay her daughter a monthly allowance if the daughter gave up her job in the United States to study for the Bar in England. The Court of Appeal held that the arrangement, made in the context of a family relationship and expressed only in loose and imprecise terms, lacked the necessary intention to create legal relations.</w:t>
      </w:r>
    </w:p>
    <w:p w14:paraId="29A933C3" w14:textId="77777777" w:rsidR="00ED2F03" w:rsidRPr="00DA574D" w:rsidRDefault="00000000">
      <w:pPr>
        <w:pStyle w:val="Heading2"/>
        <w:spacing w:before="280" w:after="140"/>
        <w:rPr>
          <w:sz w:val="24"/>
          <w:szCs w:val="24"/>
        </w:rPr>
      </w:pPr>
      <w:r w:rsidRPr="00DA574D">
        <w:rPr>
          <w:b/>
          <w:bCs/>
          <w:color w:val="1F3864"/>
          <w:sz w:val="24"/>
          <w:szCs w:val="24"/>
        </w:rPr>
        <w:t>7.4 Simpkins v Pays [1955] 1 WLR 975</w:t>
      </w:r>
    </w:p>
    <w:p w14:paraId="5B33788F" w14:textId="77777777" w:rsidR="00ED2F03" w:rsidRPr="00DA574D" w:rsidRDefault="00000000">
      <w:pPr>
        <w:spacing w:after="160" w:line="300" w:lineRule="auto"/>
        <w:jc w:val="both"/>
        <w:rPr>
          <w:sz w:val="24"/>
          <w:szCs w:val="24"/>
        </w:rPr>
      </w:pPr>
      <w:r w:rsidRPr="00DA574D">
        <w:rPr>
          <w:sz w:val="24"/>
          <w:szCs w:val="24"/>
        </w:rPr>
        <w:t>By contrast, in Simpkins v Pays, an agreement between a lodger and members of a household to share the winnings of a newspaper competition entered in the landlady's name was held to be legally binding, notwithstanding the informal domestic setting, because the arrangement had a sufficiently commercial or mutual character — each party regularly contributed to the entries with a shared expectation of dividing any prize — to rebut the ordinary domestic presumption.</w:t>
      </w:r>
    </w:p>
    <w:p w14:paraId="60A4F30B" w14:textId="77777777" w:rsidR="00ED2F03" w:rsidRPr="00DA574D" w:rsidRDefault="00000000">
      <w:pPr>
        <w:pStyle w:val="Heading2"/>
        <w:spacing w:before="280" w:after="140"/>
        <w:rPr>
          <w:sz w:val="24"/>
          <w:szCs w:val="24"/>
        </w:rPr>
      </w:pPr>
      <w:r w:rsidRPr="00DA574D">
        <w:rPr>
          <w:b/>
          <w:bCs/>
          <w:color w:val="1F3864"/>
          <w:sz w:val="24"/>
          <w:szCs w:val="24"/>
        </w:rPr>
        <w:t>7.5 Summary Table of Comparator Cases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200"/>
      </w:tblGrid>
      <w:tr w:rsidR="00ED2F03" w:rsidRPr="00DA574D" w14:paraId="52B17E71"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330CD8D2" w14:textId="77777777" w:rsidR="00ED2F03" w:rsidRPr="00DA574D" w:rsidRDefault="00000000">
            <w:pPr>
              <w:rPr>
                <w:sz w:val="24"/>
                <w:szCs w:val="24"/>
              </w:rPr>
            </w:pPr>
            <w:r w:rsidRPr="00DA574D">
              <w:rPr>
                <w:b/>
                <w:bCs/>
                <w:color w:val="FFFFFF"/>
                <w:sz w:val="24"/>
                <w:szCs w:val="24"/>
              </w:rPr>
              <w:t>Case</w:t>
            </w:r>
          </w:p>
        </w:tc>
        <w:tc>
          <w:tcPr>
            <w:tcW w:w="3400" w:type="dxa"/>
            <w:shd w:val="clear" w:color="auto" w:fill="1F3864"/>
            <w:tcMar>
              <w:top w:w="100" w:type="dxa"/>
              <w:left w:w="120" w:type="dxa"/>
              <w:bottom w:w="100" w:type="dxa"/>
              <w:right w:w="120" w:type="dxa"/>
            </w:tcMar>
            <w:vAlign w:val="center"/>
          </w:tcPr>
          <w:p w14:paraId="0EE6B261" w14:textId="77777777" w:rsidR="00ED2F03" w:rsidRPr="00DA574D" w:rsidRDefault="00000000">
            <w:pPr>
              <w:rPr>
                <w:sz w:val="24"/>
                <w:szCs w:val="24"/>
              </w:rPr>
            </w:pPr>
            <w:r w:rsidRPr="00DA574D">
              <w:rPr>
                <w:b/>
                <w:bCs/>
                <w:color w:val="FFFFFF"/>
                <w:sz w:val="24"/>
                <w:szCs w:val="24"/>
              </w:rPr>
              <w:t>Relationship / Context</w:t>
            </w:r>
          </w:p>
        </w:tc>
        <w:tc>
          <w:tcPr>
            <w:tcW w:w="3200" w:type="dxa"/>
            <w:shd w:val="clear" w:color="auto" w:fill="1F3864"/>
            <w:tcMar>
              <w:top w:w="100" w:type="dxa"/>
              <w:left w:w="120" w:type="dxa"/>
              <w:bottom w:w="100" w:type="dxa"/>
              <w:right w:w="120" w:type="dxa"/>
            </w:tcMar>
            <w:vAlign w:val="center"/>
          </w:tcPr>
          <w:p w14:paraId="4355EEA8" w14:textId="77777777" w:rsidR="00ED2F03" w:rsidRPr="00DA574D" w:rsidRDefault="00000000">
            <w:pPr>
              <w:rPr>
                <w:sz w:val="24"/>
                <w:szCs w:val="24"/>
              </w:rPr>
            </w:pPr>
            <w:r w:rsidRPr="00DA574D">
              <w:rPr>
                <w:b/>
                <w:bCs/>
                <w:color w:val="FFFFFF"/>
                <w:sz w:val="24"/>
                <w:szCs w:val="24"/>
              </w:rPr>
              <w:t>Outcome</w:t>
            </w:r>
          </w:p>
        </w:tc>
      </w:tr>
      <w:tr w:rsidR="00ED2F03" w:rsidRPr="00DA574D" w14:paraId="0B106440"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7E4CA5F7" w14:textId="77777777" w:rsidR="00ED2F03" w:rsidRPr="00DA574D" w:rsidRDefault="00000000">
            <w:pPr>
              <w:rPr>
                <w:sz w:val="24"/>
                <w:szCs w:val="24"/>
              </w:rPr>
            </w:pPr>
            <w:r w:rsidRPr="00DA574D">
              <w:rPr>
                <w:color w:val="000000"/>
                <w:sz w:val="24"/>
                <w:szCs w:val="24"/>
              </w:rPr>
              <w:t>Balfour v Balfour (1919)</w:t>
            </w:r>
          </w:p>
        </w:tc>
        <w:tc>
          <w:tcPr>
            <w:tcW w:w="3400" w:type="dxa"/>
            <w:shd w:val="clear" w:color="auto" w:fill="F2F2F2"/>
            <w:tcMar>
              <w:top w:w="100" w:type="dxa"/>
              <w:left w:w="120" w:type="dxa"/>
              <w:bottom w:w="100" w:type="dxa"/>
              <w:right w:w="120" w:type="dxa"/>
            </w:tcMar>
            <w:vAlign w:val="center"/>
          </w:tcPr>
          <w:p w14:paraId="5D87EAAB" w14:textId="77777777" w:rsidR="00ED2F03" w:rsidRPr="00DA574D" w:rsidRDefault="00000000">
            <w:pPr>
              <w:rPr>
                <w:sz w:val="24"/>
                <w:szCs w:val="24"/>
              </w:rPr>
            </w:pPr>
            <w:r w:rsidRPr="00DA574D">
              <w:rPr>
                <w:color w:val="000000"/>
                <w:sz w:val="24"/>
                <w:szCs w:val="24"/>
              </w:rPr>
              <w:t>Spouses living together in amity</w:t>
            </w:r>
          </w:p>
        </w:tc>
        <w:tc>
          <w:tcPr>
            <w:tcW w:w="3200" w:type="dxa"/>
            <w:shd w:val="clear" w:color="auto" w:fill="F2F2F2"/>
            <w:tcMar>
              <w:top w:w="100" w:type="dxa"/>
              <w:left w:w="120" w:type="dxa"/>
              <w:bottom w:w="100" w:type="dxa"/>
              <w:right w:w="120" w:type="dxa"/>
            </w:tcMar>
            <w:vAlign w:val="center"/>
          </w:tcPr>
          <w:p w14:paraId="4242785D" w14:textId="77777777" w:rsidR="00ED2F03" w:rsidRPr="00DA574D" w:rsidRDefault="00000000">
            <w:pPr>
              <w:rPr>
                <w:sz w:val="24"/>
                <w:szCs w:val="24"/>
              </w:rPr>
            </w:pPr>
            <w:r w:rsidRPr="00DA574D">
              <w:rPr>
                <w:color w:val="000000"/>
                <w:sz w:val="24"/>
                <w:szCs w:val="24"/>
              </w:rPr>
              <w:t>No contract — presumption not rebutted</w:t>
            </w:r>
          </w:p>
        </w:tc>
      </w:tr>
      <w:tr w:rsidR="00ED2F03" w:rsidRPr="00DA574D" w14:paraId="2BF8D43D" w14:textId="77777777">
        <w:tblPrEx>
          <w:tblCellMar>
            <w:top w:w="0" w:type="dxa"/>
            <w:bottom w:w="0" w:type="dxa"/>
          </w:tblCellMar>
        </w:tblPrEx>
        <w:tc>
          <w:tcPr>
            <w:tcW w:w="2600" w:type="dxa"/>
            <w:tcMar>
              <w:top w:w="100" w:type="dxa"/>
              <w:left w:w="120" w:type="dxa"/>
              <w:bottom w:w="100" w:type="dxa"/>
              <w:right w:w="120" w:type="dxa"/>
            </w:tcMar>
            <w:vAlign w:val="center"/>
          </w:tcPr>
          <w:p w14:paraId="0EE2A446" w14:textId="77777777" w:rsidR="00ED2F03" w:rsidRPr="00DA574D" w:rsidRDefault="00000000">
            <w:pPr>
              <w:rPr>
                <w:sz w:val="24"/>
                <w:szCs w:val="24"/>
              </w:rPr>
            </w:pPr>
            <w:r w:rsidRPr="00DA574D">
              <w:rPr>
                <w:color w:val="000000"/>
                <w:sz w:val="24"/>
                <w:szCs w:val="24"/>
              </w:rPr>
              <w:t>Merritt v Merritt (1970)</w:t>
            </w:r>
          </w:p>
        </w:tc>
        <w:tc>
          <w:tcPr>
            <w:tcW w:w="3400" w:type="dxa"/>
            <w:tcMar>
              <w:top w:w="100" w:type="dxa"/>
              <w:left w:w="120" w:type="dxa"/>
              <w:bottom w:w="100" w:type="dxa"/>
              <w:right w:w="120" w:type="dxa"/>
            </w:tcMar>
            <w:vAlign w:val="center"/>
          </w:tcPr>
          <w:p w14:paraId="27C4CDAD" w14:textId="77777777" w:rsidR="00ED2F03" w:rsidRPr="00DA574D" w:rsidRDefault="00000000">
            <w:pPr>
              <w:rPr>
                <w:sz w:val="24"/>
                <w:szCs w:val="24"/>
              </w:rPr>
            </w:pPr>
            <w:r w:rsidRPr="00DA574D">
              <w:rPr>
                <w:color w:val="000000"/>
                <w:sz w:val="24"/>
                <w:szCs w:val="24"/>
              </w:rPr>
              <w:t>Separated spouses, written agreement</w:t>
            </w:r>
          </w:p>
        </w:tc>
        <w:tc>
          <w:tcPr>
            <w:tcW w:w="3200" w:type="dxa"/>
            <w:tcMar>
              <w:top w:w="100" w:type="dxa"/>
              <w:left w:w="120" w:type="dxa"/>
              <w:bottom w:w="100" w:type="dxa"/>
              <w:right w:w="120" w:type="dxa"/>
            </w:tcMar>
            <w:vAlign w:val="center"/>
          </w:tcPr>
          <w:p w14:paraId="44131AD2" w14:textId="77777777" w:rsidR="00ED2F03" w:rsidRPr="00DA574D" w:rsidRDefault="00000000">
            <w:pPr>
              <w:rPr>
                <w:sz w:val="24"/>
                <w:szCs w:val="24"/>
              </w:rPr>
            </w:pPr>
            <w:r w:rsidRPr="00DA574D">
              <w:rPr>
                <w:color w:val="000000"/>
                <w:sz w:val="24"/>
                <w:szCs w:val="24"/>
              </w:rPr>
              <w:t>Contract enforced — presumption rebutted</w:t>
            </w:r>
          </w:p>
        </w:tc>
      </w:tr>
      <w:tr w:rsidR="00ED2F03" w:rsidRPr="00DA574D" w14:paraId="5B0A94F9"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03F2FBDC" w14:textId="77777777" w:rsidR="00ED2F03" w:rsidRPr="00DA574D" w:rsidRDefault="00000000">
            <w:pPr>
              <w:rPr>
                <w:sz w:val="24"/>
                <w:szCs w:val="24"/>
              </w:rPr>
            </w:pPr>
            <w:r w:rsidRPr="00DA574D">
              <w:rPr>
                <w:color w:val="000000"/>
                <w:sz w:val="24"/>
                <w:szCs w:val="24"/>
              </w:rPr>
              <w:t xml:space="preserve">Jones v </w:t>
            </w:r>
            <w:proofErr w:type="spellStart"/>
            <w:r w:rsidRPr="00DA574D">
              <w:rPr>
                <w:color w:val="000000"/>
                <w:sz w:val="24"/>
                <w:szCs w:val="24"/>
              </w:rPr>
              <w:t>Padavatton</w:t>
            </w:r>
            <w:proofErr w:type="spellEnd"/>
            <w:r w:rsidRPr="00DA574D">
              <w:rPr>
                <w:color w:val="000000"/>
                <w:sz w:val="24"/>
                <w:szCs w:val="24"/>
              </w:rPr>
              <w:t xml:space="preserve"> (1969)</w:t>
            </w:r>
          </w:p>
        </w:tc>
        <w:tc>
          <w:tcPr>
            <w:tcW w:w="3400" w:type="dxa"/>
            <w:shd w:val="clear" w:color="auto" w:fill="F2F2F2"/>
            <w:tcMar>
              <w:top w:w="100" w:type="dxa"/>
              <w:left w:w="120" w:type="dxa"/>
              <w:bottom w:w="100" w:type="dxa"/>
              <w:right w:w="120" w:type="dxa"/>
            </w:tcMar>
            <w:vAlign w:val="center"/>
          </w:tcPr>
          <w:p w14:paraId="1BB4D647" w14:textId="77777777" w:rsidR="00ED2F03" w:rsidRPr="00DA574D" w:rsidRDefault="00000000">
            <w:pPr>
              <w:rPr>
                <w:sz w:val="24"/>
                <w:szCs w:val="24"/>
              </w:rPr>
            </w:pPr>
            <w:r w:rsidRPr="00DA574D">
              <w:rPr>
                <w:color w:val="000000"/>
                <w:sz w:val="24"/>
                <w:szCs w:val="24"/>
              </w:rPr>
              <w:t>Mother and daughter, informal terms</w:t>
            </w:r>
          </w:p>
        </w:tc>
        <w:tc>
          <w:tcPr>
            <w:tcW w:w="3200" w:type="dxa"/>
            <w:shd w:val="clear" w:color="auto" w:fill="F2F2F2"/>
            <w:tcMar>
              <w:top w:w="100" w:type="dxa"/>
              <w:left w:w="120" w:type="dxa"/>
              <w:bottom w:w="100" w:type="dxa"/>
              <w:right w:w="120" w:type="dxa"/>
            </w:tcMar>
            <w:vAlign w:val="center"/>
          </w:tcPr>
          <w:p w14:paraId="038D33D8" w14:textId="77777777" w:rsidR="00ED2F03" w:rsidRPr="00DA574D" w:rsidRDefault="00000000">
            <w:pPr>
              <w:rPr>
                <w:sz w:val="24"/>
                <w:szCs w:val="24"/>
              </w:rPr>
            </w:pPr>
            <w:r w:rsidRPr="00DA574D">
              <w:rPr>
                <w:color w:val="000000"/>
                <w:sz w:val="24"/>
                <w:szCs w:val="24"/>
              </w:rPr>
              <w:t>No contract — presumption not rebutted</w:t>
            </w:r>
          </w:p>
        </w:tc>
      </w:tr>
      <w:tr w:rsidR="00ED2F03" w:rsidRPr="00DA574D" w14:paraId="1F77F3B7" w14:textId="77777777">
        <w:tblPrEx>
          <w:tblCellMar>
            <w:top w:w="0" w:type="dxa"/>
            <w:bottom w:w="0" w:type="dxa"/>
          </w:tblCellMar>
        </w:tblPrEx>
        <w:tc>
          <w:tcPr>
            <w:tcW w:w="2600" w:type="dxa"/>
            <w:tcMar>
              <w:top w:w="100" w:type="dxa"/>
              <w:left w:w="120" w:type="dxa"/>
              <w:bottom w:w="100" w:type="dxa"/>
              <w:right w:w="120" w:type="dxa"/>
            </w:tcMar>
            <w:vAlign w:val="center"/>
          </w:tcPr>
          <w:p w14:paraId="4001F471" w14:textId="77777777" w:rsidR="00ED2F03" w:rsidRPr="00DA574D" w:rsidRDefault="00000000">
            <w:pPr>
              <w:rPr>
                <w:sz w:val="24"/>
                <w:szCs w:val="24"/>
              </w:rPr>
            </w:pPr>
            <w:r w:rsidRPr="00DA574D">
              <w:rPr>
                <w:color w:val="000000"/>
                <w:sz w:val="24"/>
                <w:szCs w:val="24"/>
              </w:rPr>
              <w:t>Simpkins v Pays (1955)</w:t>
            </w:r>
          </w:p>
        </w:tc>
        <w:tc>
          <w:tcPr>
            <w:tcW w:w="3400" w:type="dxa"/>
            <w:tcMar>
              <w:top w:w="100" w:type="dxa"/>
              <w:left w:w="120" w:type="dxa"/>
              <w:bottom w:w="100" w:type="dxa"/>
              <w:right w:w="120" w:type="dxa"/>
            </w:tcMar>
            <w:vAlign w:val="center"/>
          </w:tcPr>
          <w:p w14:paraId="260B60AE" w14:textId="77777777" w:rsidR="00ED2F03" w:rsidRPr="00DA574D" w:rsidRDefault="00000000">
            <w:pPr>
              <w:rPr>
                <w:sz w:val="24"/>
                <w:szCs w:val="24"/>
              </w:rPr>
            </w:pPr>
            <w:r w:rsidRPr="00DA574D">
              <w:rPr>
                <w:color w:val="000000"/>
                <w:sz w:val="24"/>
                <w:szCs w:val="24"/>
              </w:rPr>
              <w:t>Lodger and household, shared competition</w:t>
            </w:r>
          </w:p>
        </w:tc>
        <w:tc>
          <w:tcPr>
            <w:tcW w:w="3200" w:type="dxa"/>
            <w:tcMar>
              <w:top w:w="100" w:type="dxa"/>
              <w:left w:w="120" w:type="dxa"/>
              <w:bottom w:w="100" w:type="dxa"/>
              <w:right w:w="120" w:type="dxa"/>
            </w:tcMar>
            <w:vAlign w:val="center"/>
          </w:tcPr>
          <w:p w14:paraId="1D88AD95" w14:textId="77777777" w:rsidR="00ED2F03" w:rsidRPr="00DA574D" w:rsidRDefault="00000000">
            <w:pPr>
              <w:rPr>
                <w:sz w:val="24"/>
                <w:szCs w:val="24"/>
              </w:rPr>
            </w:pPr>
            <w:r w:rsidRPr="00DA574D">
              <w:rPr>
                <w:color w:val="000000"/>
                <w:sz w:val="24"/>
                <w:szCs w:val="24"/>
              </w:rPr>
              <w:t>Contract enforced — mutual commercial character</w:t>
            </w:r>
          </w:p>
        </w:tc>
      </w:tr>
      <w:tr w:rsidR="00ED2F03" w:rsidRPr="00DA574D" w14:paraId="0FA7916A"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57CD6B00" w14:textId="77777777" w:rsidR="00ED2F03" w:rsidRPr="00DA574D" w:rsidRDefault="00000000">
            <w:pPr>
              <w:rPr>
                <w:sz w:val="24"/>
                <w:szCs w:val="24"/>
              </w:rPr>
            </w:pPr>
            <w:r w:rsidRPr="00DA574D">
              <w:rPr>
                <w:color w:val="000000"/>
                <w:sz w:val="24"/>
                <w:szCs w:val="24"/>
              </w:rPr>
              <w:t>Edwards v Skyways (1964)</w:t>
            </w:r>
          </w:p>
        </w:tc>
        <w:tc>
          <w:tcPr>
            <w:tcW w:w="3400" w:type="dxa"/>
            <w:shd w:val="clear" w:color="auto" w:fill="F2F2F2"/>
            <w:tcMar>
              <w:top w:w="100" w:type="dxa"/>
              <w:left w:w="120" w:type="dxa"/>
              <w:bottom w:w="100" w:type="dxa"/>
              <w:right w:w="120" w:type="dxa"/>
            </w:tcMar>
            <w:vAlign w:val="center"/>
          </w:tcPr>
          <w:p w14:paraId="7E8ECFB0" w14:textId="77777777" w:rsidR="00ED2F03" w:rsidRPr="00DA574D" w:rsidRDefault="00000000">
            <w:pPr>
              <w:rPr>
                <w:sz w:val="24"/>
                <w:szCs w:val="24"/>
              </w:rPr>
            </w:pPr>
            <w:r w:rsidRPr="00DA574D">
              <w:rPr>
                <w:color w:val="000000"/>
                <w:sz w:val="24"/>
                <w:szCs w:val="24"/>
              </w:rPr>
              <w:t>Employer and employee</w:t>
            </w:r>
          </w:p>
        </w:tc>
        <w:tc>
          <w:tcPr>
            <w:tcW w:w="3200" w:type="dxa"/>
            <w:shd w:val="clear" w:color="auto" w:fill="F2F2F2"/>
            <w:tcMar>
              <w:top w:w="100" w:type="dxa"/>
              <w:left w:w="120" w:type="dxa"/>
              <w:bottom w:w="100" w:type="dxa"/>
              <w:right w:w="120" w:type="dxa"/>
            </w:tcMar>
            <w:vAlign w:val="center"/>
          </w:tcPr>
          <w:p w14:paraId="47C29A55" w14:textId="77777777" w:rsidR="00ED2F03" w:rsidRPr="00DA574D" w:rsidRDefault="00000000">
            <w:pPr>
              <w:rPr>
                <w:sz w:val="24"/>
                <w:szCs w:val="24"/>
              </w:rPr>
            </w:pPr>
            <w:r w:rsidRPr="00DA574D">
              <w:rPr>
                <w:color w:val="000000"/>
                <w:sz w:val="24"/>
                <w:szCs w:val="24"/>
              </w:rPr>
              <w:t>Contract enforced — commercial presumption</w:t>
            </w:r>
          </w:p>
        </w:tc>
      </w:tr>
    </w:tbl>
    <w:p w14:paraId="2A823D84" w14:textId="77777777" w:rsidR="00ED2F03" w:rsidRPr="00DA574D" w:rsidRDefault="00ED2F03">
      <w:pPr>
        <w:spacing w:after="200"/>
        <w:rPr>
          <w:sz w:val="24"/>
          <w:szCs w:val="24"/>
        </w:rPr>
      </w:pPr>
    </w:p>
    <w:p w14:paraId="617EB8A8" w14:textId="77777777" w:rsidR="00ED2F03" w:rsidRPr="00DA574D" w:rsidRDefault="00000000">
      <w:pPr>
        <w:pStyle w:val="Heading1"/>
        <w:pBdr>
          <w:bottom w:val="single" w:sz="6" w:space="4" w:color="1F3864"/>
        </w:pBdr>
        <w:spacing w:before="360" w:after="180"/>
        <w:rPr>
          <w:sz w:val="24"/>
          <w:szCs w:val="24"/>
        </w:rPr>
      </w:pPr>
      <w:r w:rsidRPr="00DA574D">
        <w:rPr>
          <w:b/>
          <w:bCs/>
          <w:color w:val="1F3864"/>
          <w:sz w:val="24"/>
          <w:szCs w:val="24"/>
        </w:rPr>
        <w:t>8. Criticism and Academic Commentary</w:t>
      </w:r>
    </w:p>
    <w:p w14:paraId="557EFEB7" w14:textId="77777777" w:rsidR="00ED2F03" w:rsidRPr="00DA574D" w:rsidRDefault="00000000">
      <w:pPr>
        <w:pStyle w:val="ListParagraph"/>
        <w:numPr>
          <w:ilvl w:val="0"/>
          <w:numId w:val="2"/>
        </w:numPr>
        <w:spacing w:after="90" w:line="290" w:lineRule="auto"/>
        <w:rPr>
          <w:sz w:val="24"/>
          <w:szCs w:val="24"/>
        </w:rPr>
      </w:pPr>
      <w:r w:rsidRPr="00DA574D">
        <w:rPr>
          <w:sz w:val="24"/>
          <w:szCs w:val="24"/>
        </w:rPr>
        <w:t>Rigidity: critics argue that a blanket presumption based solely on the domestic character of a relationship is a blunt instrument that may not reflect the genuine intentions of the specific parties before the court.</w:t>
      </w:r>
    </w:p>
    <w:p w14:paraId="03FE8BB9" w14:textId="77777777" w:rsidR="00ED2F03" w:rsidRPr="00DA574D" w:rsidRDefault="00000000">
      <w:pPr>
        <w:pStyle w:val="ListParagraph"/>
        <w:numPr>
          <w:ilvl w:val="0"/>
          <w:numId w:val="2"/>
        </w:numPr>
        <w:spacing w:after="90" w:line="290" w:lineRule="auto"/>
        <w:rPr>
          <w:sz w:val="24"/>
          <w:szCs w:val="24"/>
        </w:rPr>
      </w:pPr>
      <w:r w:rsidRPr="00DA574D">
        <w:rPr>
          <w:sz w:val="24"/>
          <w:szCs w:val="24"/>
        </w:rPr>
        <w:t>Gender and historical context: some commentators note that the decision reflects early twentieth-century assumptions about marriage, the financial dependency of wives, and the limited role of courts in regulating the internal affairs of a household — assumptions that sit uneasily with modern understandings of spousal equality.</w:t>
      </w:r>
    </w:p>
    <w:p w14:paraId="5742F87F" w14:textId="77777777" w:rsidR="00ED2F03" w:rsidRPr="00DA574D" w:rsidRDefault="00000000">
      <w:pPr>
        <w:pStyle w:val="ListParagraph"/>
        <w:numPr>
          <w:ilvl w:val="0"/>
          <w:numId w:val="2"/>
        </w:numPr>
        <w:spacing w:after="90" w:line="290" w:lineRule="auto"/>
        <w:rPr>
          <w:sz w:val="24"/>
          <w:szCs w:val="24"/>
        </w:rPr>
      </w:pPr>
      <w:r w:rsidRPr="00DA574D">
        <w:rPr>
          <w:sz w:val="24"/>
          <w:szCs w:val="24"/>
        </w:rPr>
        <w:lastRenderedPageBreak/>
        <w:t>Reasoning by outcome: it has been suggested that the presumption operates less as a genuine inquiry into subjective intention and more as a convenient label applied after the court has already decided, on policy grounds, that a particular claim should or should not succeed.</w:t>
      </w:r>
    </w:p>
    <w:p w14:paraId="3F43F422" w14:textId="77777777" w:rsidR="00ED2F03" w:rsidRPr="00DA574D" w:rsidRDefault="00000000">
      <w:pPr>
        <w:pStyle w:val="ListParagraph"/>
        <w:numPr>
          <w:ilvl w:val="0"/>
          <w:numId w:val="2"/>
        </w:numPr>
        <w:spacing w:after="90" w:line="290" w:lineRule="auto"/>
        <w:rPr>
          <w:sz w:val="24"/>
          <w:szCs w:val="24"/>
        </w:rPr>
      </w:pPr>
      <w:r w:rsidRPr="00DA574D">
        <w:rPr>
          <w:sz w:val="24"/>
          <w:szCs w:val="24"/>
        </w:rPr>
        <w:t>Modern flexibility: contemporary courts tend to treat the domestic presumption as one relevant factor among several, examining the actual context — including the formality of the arrangement, the state of the relationship, and whether the parties dealt with each other at arm's length — rather than mechanically applying a fixed rule.</w:t>
      </w:r>
    </w:p>
    <w:p w14:paraId="2CF98795" w14:textId="77777777" w:rsidR="00ED2F03" w:rsidRPr="00DA574D" w:rsidRDefault="00000000">
      <w:pPr>
        <w:pStyle w:val="ListParagraph"/>
        <w:numPr>
          <w:ilvl w:val="0"/>
          <w:numId w:val="2"/>
        </w:numPr>
        <w:spacing w:after="90" w:line="290" w:lineRule="auto"/>
        <w:rPr>
          <w:sz w:val="24"/>
          <w:szCs w:val="24"/>
        </w:rPr>
      </w:pPr>
      <w:r w:rsidRPr="00DA574D">
        <w:rPr>
          <w:sz w:val="24"/>
          <w:szCs w:val="24"/>
        </w:rPr>
        <w:t>Enduring value: despite the criticism, the case continues to be defended as a sound and workable starting point that prevents the ordinary business of daily domestic life from being converted into a source of litigation.</w:t>
      </w:r>
    </w:p>
    <w:p w14:paraId="7BD320B0" w14:textId="77777777" w:rsidR="00ED2F03" w:rsidRPr="00DA574D" w:rsidRDefault="00000000">
      <w:pPr>
        <w:pStyle w:val="Heading1"/>
        <w:pBdr>
          <w:bottom w:val="single" w:sz="6" w:space="4" w:color="1F3864"/>
        </w:pBdr>
        <w:spacing w:before="360" w:after="180"/>
        <w:rPr>
          <w:sz w:val="24"/>
          <w:szCs w:val="24"/>
        </w:rPr>
      </w:pPr>
      <w:r w:rsidRPr="00DA574D">
        <w:rPr>
          <w:b/>
          <w:bCs/>
          <w:color w:val="1F3864"/>
          <w:sz w:val="24"/>
          <w:szCs w:val="24"/>
        </w:rPr>
        <w:t>9. IRAC Application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ED2F03" w:rsidRPr="00DA574D" w14:paraId="2DA75691" w14:textId="77777777">
        <w:tblPrEx>
          <w:tblCellMar>
            <w:top w:w="0" w:type="dxa"/>
            <w:bottom w:w="0" w:type="dxa"/>
          </w:tblCellMar>
        </w:tblPrEx>
        <w:trPr>
          <w:tblHeader/>
        </w:trPr>
        <w:tc>
          <w:tcPr>
            <w:tcW w:w="1800" w:type="dxa"/>
            <w:shd w:val="clear" w:color="auto" w:fill="1F3864"/>
            <w:tcMar>
              <w:top w:w="100" w:type="dxa"/>
              <w:left w:w="120" w:type="dxa"/>
              <w:bottom w:w="100" w:type="dxa"/>
              <w:right w:w="120" w:type="dxa"/>
            </w:tcMar>
            <w:vAlign w:val="center"/>
          </w:tcPr>
          <w:p w14:paraId="6D99FDAA" w14:textId="77777777" w:rsidR="00ED2F03" w:rsidRPr="00DA574D" w:rsidRDefault="00000000">
            <w:pPr>
              <w:rPr>
                <w:sz w:val="24"/>
                <w:szCs w:val="24"/>
              </w:rPr>
            </w:pPr>
            <w:r w:rsidRPr="00DA574D">
              <w:rPr>
                <w:b/>
                <w:bCs/>
                <w:color w:val="FFFFFF"/>
                <w:sz w:val="24"/>
                <w:szCs w:val="24"/>
              </w:rPr>
              <w:t>Element</w:t>
            </w:r>
          </w:p>
        </w:tc>
        <w:tc>
          <w:tcPr>
            <w:tcW w:w="7400" w:type="dxa"/>
            <w:shd w:val="clear" w:color="auto" w:fill="1F3864"/>
            <w:tcMar>
              <w:top w:w="100" w:type="dxa"/>
              <w:left w:w="120" w:type="dxa"/>
              <w:bottom w:w="100" w:type="dxa"/>
              <w:right w:w="120" w:type="dxa"/>
            </w:tcMar>
            <w:vAlign w:val="center"/>
          </w:tcPr>
          <w:p w14:paraId="47A55B2B" w14:textId="77777777" w:rsidR="00ED2F03" w:rsidRPr="00DA574D" w:rsidRDefault="00000000">
            <w:pPr>
              <w:rPr>
                <w:sz w:val="24"/>
                <w:szCs w:val="24"/>
              </w:rPr>
            </w:pPr>
            <w:r w:rsidRPr="00DA574D">
              <w:rPr>
                <w:b/>
                <w:bCs/>
                <w:color w:val="FFFFFF"/>
                <w:sz w:val="24"/>
                <w:szCs w:val="24"/>
              </w:rPr>
              <w:t>Application to Balfour v Balfour</w:t>
            </w:r>
          </w:p>
        </w:tc>
      </w:tr>
      <w:tr w:rsidR="00ED2F03" w:rsidRPr="00DA574D" w14:paraId="64DFE55C" w14:textId="77777777">
        <w:tblPrEx>
          <w:tblCellMar>
            <w:top w:w="0" w:type="dxa"/>
            <w:bottom w:w="0" w:type="dxa"/>
          </w:tblCellMar>
        </w:tblPrEx>
        <w:tc>
          <w:tcPr>
            <w:tcW w:w="1800" w:type="dxa"/>
            <w:shd w:val="clear" w:color="auto" w:fill="F2F2F2"/>
            <w:tcMar>
              <w:top w:w="100" w:type="dxa"/>
              <w:left w:w="120" w:type="dxa"/>
              <w:bottom w:w="100" w:type="dxa"/>
              <w:right w:w="120" w:type="dxa"/>
            </w:tcMar>
            <w:vAlign w:val="center"/>
          </w:tcPr>
          <w:p w14:paraId="07B0B945" w14:textId="77777777" w:rsidR="00ED2F03" w:rsidRPr="00DA574D" w:rsidRDefault="00000000">
            <w:pPr>
              <w:rPr>
                <w:sz w:val="24"/>
                <w:szCs w:val="24"/>
              </w:rPr>
            </w:pPr>
            <w:r w:rsidRPr="00DA574D">
              <w:rPr>
                <w:b/>
                <w:bCs/>
                <w:color w:val="000000"/>
                <w:sz w:val="24"/>
                <w:szCs w:val="24"/>
              </w:rPr>
              <w:t>Issue</w:t>
            </w:r>
          </w:p>
        </w:tc>
        <w:tc>
          <w:tcPr>
            <w:tcW w:w="7400" w:type="dxa"/>
            <w:tcMar>
              <w:top w:w="100" w:type="dxa"/>
              <w:left w:w="120" w:type="dxa"/>
              <w:bottom w:w="100" w:type="dxa"/>
              <w:right w:w="120" w:type="dxa"/>
            </w:tcMar>
            <w:vAlign w:val="center"/>
          </w:tcPr>
          <w:p w14:paraId="21C02F36" w14:textId="77777777" w:rsidR="00ED2F03" w:rsidRPr="00DA574D" w:rsidRDefault="00000000">
            <w:pPr>
              <w:rPr>
                <w:sz w:val="24"/>
                <w:szCs w:val="24"/>
              </w:rPr>
            </w:pPr>
            <w:r w:rsidRPr="00DA574D">
              <w:rPr>
                <w:color w:val="000000"/>
                <w:sz w:val="24"/>
                <w:szCs w:val="24"/>
              </w:rPr>
              <w:t>Whether there was an intention to create legal relations between a husband and wife when the husband promised to pay his wife a monthly allowance.</w:t>
            </w:r>
          </w:p>
        </w:tc>
      </w:tr>
      <w:tr w:rsidR="00ED2F03" w:rsidRPr="00DA574D" w14:paraId="21C1B5E4" w14:textId="77777777">
        <w:tblPrEx>
          <w:tblCellMar>
            <w:top w:w="0" w:type="dxa"/>
            <w:bottom w:w="0" w:type="dxa"/>
          </w:tblCellMar>
        </w:tblPrEx>
        <w:tc>
          <w:tcPr>
            <w:tcW w:w="1800" w:type="dxa"/>
            <w:shd w:val="clear" w:color="auto" w:fill="F2F2F2"/>
            <w:tcMar>
              <w:top w:w="100" w:type="dxa"/>
              <w:left w:w="120" w:type="dxa"/>
              <w:bottom w:w="100" w:type="dxa"/>
              <w:right w:w="120" w:type="dxa"/>
            </w:tcMar>
            <w:vAlign w:val="center"/>
          </w:tcPr>
          <w:p w14:paraId="7C6EE3D8" w14:textId="77777777" w:rsidR="00ED2F03" w:rsidRPr="00DA574D" w:rsidRDefault="00000000">
            <w:pPr>
              <w:rPr>
                <w:sz w:val="24"/>
                <w:szCs w:val="24"/>
              </w:rPr>
            </w:pPr>
            <w:r w:rsidRPr="00DA574D">
              <w:rPr>
                <w:b/>
                <w:bCs/>
                <w:color w:val="000000"/>
                <w:sz w:val="24"/>
                <w:szCs w:val="24"/>
              </w:rPr>
              <w:t>Rule</w:t>
            </w:r>
          </w:p>
        </w:tc>
        <w:tc>
          <w:tcPr>
            <w:tcW w:w="7400" w:type="dxa"/>
            <w:tcMar>
              <w:top w:w="100" w:type="dxa"/>
              <w:left w:w="120" w:type="dxa"/>
              <w:bottom w:w="100" w:type="dxa"/>
              <w:right w:w="120" w:type="dxa"/>
            </w:tcMar>
            <w:vAlign w:val="center"/>
          </w:tcPr>
          <w:p w14:paraId="4527C51D" w14:textId="77777777" w:rsidR="00ED2F03" w:rsidRPr="00DA574D" w:rsidRDefault="00000000">
            <w:pPr>
              <w:rPr>
                <w:sz w:val="24"/>
                <w:szCs w:val="24"/>
              </w:rPr>
            </w:pPr>
            <w:r w:rsidRPr="00DA574D">
              <w:rPr>
                <w:color w:val="000000"/>
                <w:sz w:val="24"/>
                <w:szCs w:val="24"/>
              </w:rPr>
              <w:t>Domestic and social agreements are presumed not to be legally binding unless the presumption is rebutted by evidence that the parties genuinely intended legal consequences.</w:t>
            </w:r>
          </w:p>
        </w:tc>
      </w:tr>
      <w:tr w:rsidR="00ED2F03" w:rsidRPr="00DA574D" w14:paraId="1610A7FB" w14:textId="77777777">
        <w:tblPrEx>
          <w:tblCellMar>
            <w:top w:w="0" w:type="dxa"/>
            <w:bottom w:w="0" w:type="dxa"/>
          </w:tblCellMar>
        </w:tblPrEx>
        <w:tc>
          <w:tcPr>
            <w:tcW w:w="1800" w:type="dxa"/>
            <w:shd w:val="clear" w:color="auto" w:fill="F2F2F2"/>
            <w:tcMar>
              <w:top w:w="100" w:type="dxa"/>
              <w:left w:w="120" w:type="dxa"/>
              <w:bottom w:w="100" w:type="dxa"/>
              <w:right w:w="120" w:type="dxa"/>
            </w:tcMar>
            <w:vAlign w:val="center"/>
          </w:tcPr>
          <w:p w14:paraId="1F6BA2D4" w14:textId="77777777" w:rsidR="00ED2F03" w:rsidRPr="00DA574D" w:rsidRDefault="00000000">
            <w:pPr>
              <w:rPr>
                <w:sz w:val="24"/>
                <w:szCs w:val="24"/>
              </w:rPr>
            </w:pPr>
            <w:r w:rsidRPr="00DA574D">
              <w:rPr>
                <w:b/>
                <w:bCs/>
                <w:color w:val="000000"/>
                <w:sz w:val="24"/>
                <w:szCs w:val="24"/>
              </w:rPr>
              <w:t>Application</w:t>
            </w:r>
          </w:p>
        </w:tc>
        <w:tc>
          <w:tcPr>
            <w:tcW w:w="7400" w:type="dxa"/>
            <w:tcMar>
              <w:top w:w="100" w:type="dxa"/>
              <w:left w:w="120" w:type="dxa"/>
              <w:bottom w:w="100" w:type="dxa"/>
              <w:right w:w="120" w:type="dxa"/>
            </w:tcMar>
            <w:vAlign w:val="center"/>
          </w:tcPr>
          <w:p w14:paraId="7F525EED" w14:textId="77777777" w:rsidR="00ED2F03" w:rsidRPr="00DA574D" w:rsidRDefault="00000000">
            <w:pPr>
              <w:rPr>
                <w:sz w:val="24"/>
                <w:szCs w:val="24"/>
              </w:rPr>
            </w:pPr>
            <w:r w:rsidRPr="00DA574D">
              <w:rPr>
                <w:color w:val="000000"/>
                <w:sz w:val="24"/>
                <w:szCs w:val="24"/>
              </w:rPr>
              <w:t>The promise was made between husband and wife while they were living together amicably, for the purpose of maintenance during a temporary separation caused by illness. There was no formal documentation, no negotiation, and no evidence that either party contemplated legal enforcement at the time the promise was made.</w:t>
            </w:r>
          </w:p>
        </w:tc>
      </w:tr>
      <w:tr w:rsidR="00ED2F03" w:rsidRPr="00DA574D" w14:paraId="5CC600D1" w14:textId="77777777">
        <w:tblPrEx>
          <w:tblCellMar>
            <w:top w:w="0" w:type="dxa"/>
            <w:bottom w:w="0" w:type="dxa"/>
          </w:tblCellMar>
        </w:tblPrEx>
        <w:tc>
          <w:tcPr>
            <w:tcW w:w="1800" w:type="dxa"/>
            <w:shd w:val="clear" w:color="auto" w:fill="F2F2F2"/>
            <w:tcMar>
              <w:top w:w="100" w:type="dxa"/>
              <w:left w:w="120" w:type="dxa"/>
              <w:bottom w:w="100" w:type="dxa"/>
              <w:right w:w="120" w:type="dxa"/>
            </w:tcMar>
            <w:vAlign w:val="center"/>
          </w:tcPr>
          <w:p w14:paraId="180901A8" w14:textId="77777777" w:rsidR="00ED2F03" w:rsidRPr="00DA574D" w:rsidRDefault="00000000">
            <w:pPr>
              <w:rPr>
                <w:sz w:val="24"/>
                <w:szCs w:val="24"/>
              </w:rPr>
            </w:pPr>
            <w:r w:rsidRPr="00DA574D">
              <w:rPr>
                <w:b/>
                <w:bCs/>
                <w:color w:val="000000"/>
                <w:sz w:val="24"/>
                <w:szCs w:val="24"/>
              </w:rPr>
              <w:t>Conclusion</w:t>
            </w:r>
          </w:p>
        </w:tc>
        <w:tc>
          <w:tcPr>
            <w:tcW w:w="7400" w:type="dxa"/>
            <w:tcMar>
              <w:top w:w="100" w:type="dxa"/>
              <w:left w:w="120" w:type="dxa"/>
              <w:bottom w:w="100" w:type="dxa"/>
              <w:right w:w="120" w:type="dxa"/>
            </w:tcMar>
            <w:vAlign w:val="center"/>
          </w:tcPr>
          <w:p w14:paraId="2C9149B9" w14:textId="77777777" w:rsidR="00ED2F03" w:rsidRPr="00DA574D" w:rsidRDefault="00000000">
            <w:pPr>
              <w:rPr>
                <w:sz w:val="24"/>
                <w:szCs w:val="24"/>
              </w:rPr>
            </w:pPr>
            <w:r w:rsidRPr="00DA574D">
              <w:rPr>
                <w:color w:val="000000"/>
                <w:sz w:val="24"/>
                <w:szCs w:val="24"/>
              </w:rPr>
              <w:t>No contract existed. The promise, though sincerely made, was unenforceable because the necessary intention to create legal relations was absent.</w:t>
            </w:r>
          </w:p>
        </w:tc>
      </w:tr>
    </w:tbl>
    <w:p w14:paraId="331A3E20" w14:textId="77777777" w:rsidR="00ED2F03" w:rsidRPr="00DA574D" w:rsidRDefault="00ED2F03">
      <w:pPr>
        <w:spacing w:after="200"/>
        <w:rPr>
          <w:sz w:val="24"/>
          <w:szCs w:val="24"/>
        </w:rPr>
      </w:pPr>
    </w:p>
    <w:p w14:paraId="10CE1031" w14:textId="77777777" w:rsidR="00ED2F03" w:rsidRPr="00DA574D" w:rsidRDefault="00000000">
      <w:pPr>
        <w:pStyle w:val="Heading1"/>
        <w:pBdr>
          <w:bottom w:val="single" w:sz="6" w:space="4" w:color="1F3864"/>
        </w:pBdr>
        <w:spacing w:before="360" w:after="180"/>
        <w:rPr>
          <w:sz w:val="24"/>
          <w:szCs w:val="24"/>
        </w:rPr>
      </w:pPr>
      <w:r w:rsidRPr="00DA574D">
        <w:rPr>
          <w:b/>
          <w:bCs/>
          <w:color w:val="1F3864"/>
          <w:sz w:val="24"/>
          <w:szCs w:val="24"/>
        </w:rPr>
        <w:t>10. Key Takeaways for Examinations</w:t>
      </w:r>
    </w:p>
    <w:p w14:paraId="4C4FF4FA" w14:textId="77777777" w:rsidR="00ED2F03" w:rsidRPr="00DA574D" w:rsidRDefault="00000000">
      <w:pPr>
        <w:pStyle w:val="ListParagraph"/>
        <w:numPr>
          <w:ilvl w:val="0"/>
          <w:numId w:val="3"/>
        </w:numPr>
        <w:spacing w:after="90" w:line="290" w:lineRule="auto"/>
        <w:rPr>
          <w:sz w:val="24"/>
          <w:szCs w:val="24"/>
        </w:rPr>
      </w:pPr>
      <w:r w:rsidRPr="00DA574D">
        <w:rPr>
          <w:sz w:val="24"/>
          <w:szCs w:val="24"/>
        </w:rPr>
        <w:t>Balfour v Balfour is the leading authority for the proposition that, in domestic and social arrangements, there is a rebuttable presumption that the parties do not intend to create legal relations.</w:t>
      </w:r>
    </w:p>
    <w:p w14:paraId="3275F81B" w14:textId="77777777" w:rsidR="00ED2F03" w:rsidRPr="00DA574D" w:rsidRDefault="00000000">
      <w:pPr>
        <w:pStyle w:val="ListParagraph"/>
        <w:numPr>
          <w:ilvl w:val="0"/>
          <w:numId w:val="3"/>
        </w:numPr>
        <w:spacing w:after="90" w:line="290" w:lineRule="auto"/>
        <w:rPr>
          <w:sz w:val="24"/>
          <w:szCs w:val="24"/>
        </w:rPr>
      </w:pPr>
      <w:r w:rsidRPr="00DA574D">
        <w:rPr>
          <w:sz w:val="24"/>
          <w:szCs w:val="24"/>
        </w:rPr>
        <w:t>The requirement of intention to create legal relations exists as a fourth, independent element of a valid contract, alongside offer, acceptance, and consideration.</w:t>
      </w:r>
    </w:p>
    <w:p w14:paraId="72BC031D" w14:textId="77777777" w:rsidR="00ED2F03" w:rsidRPr="00DA574D" w:rsidRDefault="00000000">
      <w:pPr>
        <w:pStyle w:val="ListParagraph"/>
        <w:numPr>
          <w:ilvl w:val="0"/>
          <w:numId w:val="3"/>
        </w:numPr>
        <w:spacing w:after="90" w:line="290" w:lineRule="auto"/>
        <w:rPr>
          <w:sz w:val="24"/>
          <w:szCs w:val="24"/>
        </w:rPr>
      </w:pPr>
      <w:r w:rsidRPr="00DA574D">
        <w:rPr>
          <w:sz w:val="24"/>
          <w:szCs w:val="24"/>
        </w:rPr>
        <w:t>The presumption against legal intent in domestic settings can be rebutted by evidence such as separation of the parties, written and signed agreements, or a genuinely commercial character to the arrangement, as shown in Merritt v Merritt and Simpkins v Pays.</w:t>
      </w:r>
    </w:p>
    <w:p w14:paraId="31D07189" w14:textId="77777777" w:rsidR="00ED2F03" w:rsidRPr="00DA574D" w:rsidRDefault="00000000">
      <w:pPr>
        <w:pStyle w:val="ListParagraph"/>
        <w:numPr>
          <w:ilvl w:val="0"/>
          <w:numId w:val="3"/>
        </w:numPr>
        <w:spacing w:after="90" w:line="290" w:lineRule="auto"/>
        <w:rPr>
          <w:sz w:val="24"/>
          <w:szCs w:val="24"/>
        </w:rPr>
      </w:pPr>
      <w:r w:rsidRPr="00DA574D">
        <w:rPr>
          <w:sz w:val="24"/>
          <w:szCs w:val="24"/>
        </w:rPr>
        <w:lastRenderedPageBreak/>
        <w:t>The opposite presumption — in favour of legal intent — applies in commercial and business contexts, as illustrated by Edwards v Skyways Ltd.</w:t>
      </w:r>
    </w:p>
    <w:p w14:paraId="24A0744E" w14:textId="77777777" w:rsidR="00ED2F03" w:rsidRPr="00DA574D" w:rsidRDefault="00000000">
      <w:pPr>
        <w:pStyle w:val="ListParagraph"/>
        <w:numPr>
          <w:ilvl w:val="0"/>
          <w:numId w:val="3"/>
        </w:numPr>
        <w:spacing w:after="90" w:line="290" w:lineRule="auto"/>
        <w:rPr>
          <w:sz w:val="24"/>
          <w:szCs w:val="24"/>
        </w:rPr>
      </w:pPr>
      <w:r w:rsidRPr="00DA574D">
        <w:rPr>
          <w:sz w:val="24"/>
          <w:szCs w:val="24"/>
        </w:rPr>
        <w:t>The core policy rationale is to keep the ordinary, informal exchanges of family and social life outside the reach of contract law and the courts.</w:t>
      </w:r>
    </w:p>
    <w:p w14:paraId="3A9A9E84" w14:textId="77777777" w:rsidR="00ED2F03" w:rsidRPr="00DA574D" w:rsidRDefault="00000000">
      <w:pPr>
        <w:pStyle w:val="ListParagraph"/>
        <w:numPr>
          <w:ilvl w:val="0"/>
          <w:numId w:val="3"/>
        </w:numPr>
        <w:spacing w:after="90" w:line="290" w:lineRule="auto"/>
        <w:rPr>
          <w:sz w:val="24"/>
          <w:szCs w:val="24"/>
        </w:rPr>
      </w:pPr>
      <w:r w:rsidRPr="00DA574D">
        <w:rPr>
          <w:sz w:val="24"/>
          <w:szCs w:val="24"/>
        </w:rPr>
        <w:t>Students should be able to compare and contrast Balfour v Balfour with Merritt v Merritt to demonstrate understanding of how the same underlying presumption can produce opposite outcomes depending on context.</w:t>
      </w:r>
    </w:p>
    <w:p w14:paraId="58C0010C" w14:textId="77777777" w:rsidR="00ED2F03" w:rsidRPr="00DA574D" w:rsidRDefault="00000000">
      <w:pPr>
        <w:pStyle w:val="Heading1"/>
        <w:pBdr>
          <w:bottom w:val="single" w:sz="6" w:space="4" w:color="1F3864"/>
        </w:pBdr>
        <w:spacing w:before="360" w:after="180"/>
        <w:rPr>
          <w:sz w:val="24"/>
          <w:szCs w:val="24"/>
        </w:rPr>
      </w:pPr>
      <w:r w:rsidRPr="00DA574D">
        <w:rPr>
          <w:b/>
          <w:bCs/>
          <w:color w:val="1F3864"/>
          <w:sz w:val="24"/>
          <w:szCs w:val="24"/>
        </w:rPr>
        <w:t>11. Conclusion</w:t>
      </w:r>
    </w:p>
    <w:p w14:paraId="58F5140E" w14:textId="77777777" w:rsidR="00ED2F03" w:rsidRPr="00DA574D" w:rsidRDefault="00000000">
      <w:pPr>
        <w:spacing w:after="160" w:line="300" w:lineRule="auto"/>
        <w:jc w:val="both"/>
        <w:rPr>
          <w:sz w:val="24"/>
          <w:szCs w:val="24"/>
        </w:rPr>
      </w:pPr>
      <w:r w:rsidRPr="00DA574D">
        <w:rPr>
          <w:sz w:val="24"/>
          <w:szCs w:val="24"/>
        </w:rPr>
        <w:t>Balfour v Balfour remains, over a century after it was decided, the standard starting point for any discussion of the intention to create legal relations in English contract law. Atkin LJ's judgment supplies both a memorable statement of principle and a practical policy justification: the law of contract exists to give effect to bargains that parties genuinely intend to be legally binding, not to police the everyday promises that pass between people who trust one another. While later cases such as Merritt v Merritt demonstrate that the presumption established in Balfour is neither absolute nor immune to context, the underlying insight — that not every promise is a contract — continues to shape the modern law and to provide a clear analytical framework for students and practitioners alike.</w:t>
      </w:r>
    </w:p>
    <w:p w14:paraId="4D0F501A" w14:textId="77777777" w:rsidR="00ED2F03" w:rsidRPr="00DA574D" w:rsidRDefault="00000000">
      <w:pPr>
        <w:pStyle w:val="Heading1"/>
        <w:pBdr>
          <w:bottom w:val="single" w:sz="6" w:space="4" w:color="1F3864"/>
        </w:pBdr>
        <w:spacing w:before="360" w:after="180"/>
        <w:rPr>
          <w:sz w:val="24"/>
          <w:szCs w:val="24"/>
        </w:rPr>
      </w:pPr>
      <w:r w:rsidRPr="00DA574D">
        <w:rPr>
          <w:b/>
          <w:bCs/>
          <w:color w:val="1F3864"/>
          <w:sz w:val="24"/>
          <w:szCs w:val="24"/>
        </w:rPr>
        <w:t>References</w:t>
      </w:r>
    </w:p>
    <w:p w14:paraId="5F80C850" w14:textId="77777777" w:rsidR="00ED2F03" w:rsidRPr="00DA574D" w:rsidRDefault="00000000">
      <w:pPr>
        <w:spacing w:after="200"/>
        <w:rPr>
          <w:sz w:val="24"/>
          <w:szCs w:val="24"/>
        </w:rPr>
      </w:pPr>
      <w:r w:rsidRPr="00DA574D">
        <w:rPr>
          <w:i/>
          <w:iCs/>
          <w:color w:val="666666"/>
          <w:sz w:val="24"/>
          <w:szCs w:val="24"/>
        </w:rPr>
        <w:t>Balfour v Balfour [1919] 2 KB 571 (CA).</w:t>
      </w:r>
    </w:p>
    <w:p w14:paraId="6A91A137" w14:textId="77777777" w:rsidR="00ED2F03" w:rsidRPr="00DA574D" w:rsidRDefault="00000000">
      <w:pPr>
        <w:spacing w:after="200"/>
        <w:rPr>
          <w:sz w:val="24"/>
          <w:szCs w:val="24"/>
        </w:rPr>
      </w:pPr>
      <w:r w:rsidRPr="00DA574D">
        <w:rPr>
          <w:i/>
          <w:iCs/>
          <w:color w:val="666666"/>
          <w:sz w:val="24"/>
          <w:szCs w:val="24"/>
        </w:rPr>
        <w:t>Merritt v Merritt [1970] 1 WLR 1211 (CA).</w:t>
      </w:r>
    </w:p>
    <w:p w14:paraId="6FE2BA5B" w14:textId="77777777" w:rsidR="00ED2F03" w:rsidRPr="00DA574D" w:rsidRDefault="00000000">
      <w:pPr>
        <w:spacing w:after="200"/>
        <w:rPr>
          <w:sz w:val="24"/>
          <w:szCs w:val="24"/>
        </w:rPr>
      </w:pPr>
      <w:r w:rsidRPr="00DA574D">
        <w:rPr>
          <w:i/>
          <w:iCs/>
          <w:color w:val="666666"/>
          <w:sz w:val="24"/>
          <w:szCs w:val="24"/>
        </w:rPr>
        <w:t>Edwards v Skyways Ltd [1964] 1 WLR 349 (QB).</w:t>
      </w:r>
    </w:p>
    <w:p w14:paraId="68142D2B" w14:textId="77777777" w:rsidR="00ED2F03" w:rsidRPr="00DA574D" w:rsidRDefault="00000000">
      <w:pPr>
        <w:spacing w:after="200"/>
        <w:rPr>
          <w:sz w:val="24"/>
          <w:szCs w:val="24"/>
        </w:rPr>
      </w:pPr>
      <w:r w:rsidRPr="00DA574D">
        <w:rPr>
          <w:i/>
          <w:iCs/>
          <w:color w:val="666666"/>
          <w:sz w:val="24"/>
          <w:szCs w:val="24"/>
        </w:rPr>
        <w:t xml:space="preserve">Jones v </w:t>
      </w:r>
      <w:proofErr w:type="spellStart"/>
      <w:r w:rsidRPr="00DA574D">
        <w:rPr>
          <w:i/>
          <w:iCs/>
          <w:color w:val="666666"/>
          <w:sz w:val="24"/>
          <w:szCs w:val="24"/>
        </w:rPr>
        <w:t>Padavatton</w:t>
      </w:r>
      <w:proofErr w:type="spellEnd"/>
      <w:r w:rsidRPr="00DA574D">
        <w:rPr>
          <w:i/>
          <w:iCs/>
          <w:color w:val="666666"/>
          <w:sz w:val="24"/>
          <w:szCs w:val="24"/>
        </w:rPr>
        <w:t xml:space="preserve"> [1969] 1 WLR 328 (CA).</w:t>
      </w:r>
    </w:p>
    <w:p w14:paraId="6915AB0D" w14:textId="77777777" w:rsidR="00ED2F03" w:rsidRPr="00DA574D" w:rsidRDefault="00000000">
      <w:pPr>
        <w:spacing w:after="200"/>
        <w:rPr>
          <w:sz w:val="24"/>
          <w:szCs w:val="24"/>
        </w:rPr>
      </w:pPr>
      <w:r w:rsidRPr="00DA574D">
        <w:rPr>
          <w:i/>
          <w:iCs/>
          <w:color w:val="666666"/>
          <w:sz w:val="24"/>
          <w:szCs w:val="24"/>
        </w:rPr>
        <w:t>Simpkins v Pays [1955] 1 WLR 975 (Assizes).</w:t>
      </w:r>
    </w:p>
    <w:sectPr w:rsidR="00ED2F03" w:rsidRPr="00DA574D">
      <w:headerReference w:type="default" r:id="rId8"/>
      <w:footerReference w:type="default" r:id="rId9"/>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89285" w14:textId="77777777" w:rsidR="009C62CF" w:rsidRDefault="009C62CF">
      <w:r>
        <w:separator/>
      </w:r>
    </w:p>
  </w:endnote>
  <w:endnote w:type="continuationSeparator" w:id="0">
    <w:p w14:paraId="5AA0D2A5" w14:textId="77777777" w:rsidR="009C62CF" w:rsidRDefault="009C6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93F5" w14:textId="77777777" w:rsidR="00ED2F03"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A4F87">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A4F8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A668F" w14:textId="77777777" w:rsidR="009C62CF" w:rsidRDefault="009C62CF">
      <w:r>
        <w:separator/>
      </w:r>
    </w:p>
  </w:footnote>
  <w:footnote w:type="continuationSeparator" w:id="0">
    <w:p w14:paraId="6BE3FD48" w14:textId="77777777" w:rsidR="009C62CF" w:rsidRDefault="009C62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606B3" w14:textId="77777777" w:rsidR="00ED2F03" w:rsidRDefault="00000000">
    <w:pPr>
      <w:pBdr>
        <w:bottom w:val="single" w:sz="4" w:space="4" w:color="D9D9D9"/>
      </w:pBdr>
      <w:jc w:val="right"/>
    </w:pPr>
    <w:r>
      <w:rPr>
        <w:i/>
        <w:iCs/>
        <w:color w:val="888888"/>
        <w:sz w:val="16"/>
        <w:szCs w:val="16"/>
      </w:rPr>
      <w:t>Balfour v Balfour [1919] 2 KB 571 — Case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74E3C"/>
    <w:multiLevelType w:val="hybridMultilevel"/>
    <w:tmpl w:val="1994B79A"/>
    <w:lvl w:ilvl="0" w:tplc="2A80D3B8">
      <w:start w:val="1"/>
      <w:numFmt w:val="decimal"/>
      <w:lvlText w:val="%1."/>
      <w:lvlJc w:val="left"/>
      <w:pPr>
        <w:ind w:left="460" w:hanging="260"/>
      </w:pPr>
    </w:lvl>
    <w:lvl w:ilvl="1" w:tplc="DF00985A">
      <w:numFmt w:val="decimal"/>
      <w:lvlText w:val=""/>
      <w:lvlJc w:val="left"/>
    </w:lvl>
    <w:lvl w:ilvl="2" w:tplc="29D64878">
      <w:numFmt w:val="decimal"/>
      <w:lvlText w:val=""/>
      <w:lvlJc w:val="left"/>
    </w:lvl>
    <w:lvl w:ilvl="3" w:tplc="A16EA27E">
      <w:numFmt w:val="decimal"/>
      <w:lvlText w:val=""/>
      <w:lvlJc w:val="left"/>
    </w:lvl>
    <w:lvl w:ilvl="4" w:tplc="25D47E66">
      <w:numFmt w:val="decimal"/>
      <w:lvlText w:val=""/>
      <w:lvlJc w:val="left"/>
    </w:lvl>
    <w:lvl w:ilvl="5" w:tplc="85082AEC">
      <w:numFmt w:val="decimal"/>
      <w:lvlText w:val=""/>
      <w:lvlJc w:val="left"/>
    </w:lvl>
    <w:lvl w:ilvl="6" w:tplc="02B8B62C">
      <w:numFmt w:val="decimal"/>
      <w:lvlText w:val=""/>
      <w:lvlJc w:val="left"/>
    </w:lvl>
    <w:lvl w:ilvl="7" w:tplc="682850AC">
      <w:numFmt w:val="decimal"/>
      <w:lvlText w:val=""/>
      <w:lvlJc w:val="left"/>
    </w:lvl>
    <w:lvl w:ilvl="8" w:tplc="58308FE8">
      <w:numFmt w:val="decimal"/>
      <w:lvlText w:val=""/>
      <w:lvlJc w:val="left"/>
    </w:lvl>
  </w:abstractNum>
  <w:abstractNum w:abstractNumId="1" w15:restartNumberingAfterBreak="0">
    <w:nsid w:val="269E2566"/>
    <w:multiLevelType w:val="hybridMultilevel"/>
    <w:tmpl w:val="AD4A70D0"/>
    <w:lvl w:ilvl="0" w:tplc="4198D020">
      <w:start w:val="1"/>
      <w:numFmt w:val="bullet"/>
      <w:lvlText w:val="●"/>
      <w:lvlJc w:val="left"/>
      <w:pPr>
        <w:ind w:left="720" w:hanging="360"/>
      </w:pPr>
    </w:lvl>
    <w:lvl w:ilvl="1" w:tplc="1B84202C">
      <w:start w:val="1"/>
      <w:numFmt w:val="bullet"/>
      <w:lvlText w:val="○"/>
      <w:lvlJc w:val="left"/>
      <w:pPr>
        <w:ind w:left="1440" w:hanging="360"/>
      </w:pPr>
    </w:lvl>
    <w:lvl w:ilvl="2" w:tplc="9392D6C6">
      <w:start w:val="1"/>
      <w:numFmt w:val="bullet"/>
      <w:lvlText w:val="■"/>
      <w:lvlJc w:val="left"/>
      <w:pPr>
        <w:ind w:left="2160" w:hanging="360"/>
      </w:pPr>
    </w:lvl>
    <w:lvl w:ilvl="3" w:tplc="F9AA7F5A">
      <w:start w:val="1"/>
      <w:numFmt w:val="bullet"/>
      <w:lvlText w:val="●"/>
      <w:lvlJc w:val="left"/>
      <w:pPr>
        <w:ind w:left="2880" w:hanging="360"/>
      </w:pPr>
    </w:lvl>
    <w:lvl w:ilvl="4" w:tplc="17A8DEF2">
      <w:start w:val="1"/>
      <w:numFmt w:val="bullet"/>
      <w:lvlText w:val="○"/>
      <w:lvlJc w:val="left"/>
      <w:pPr>
        <w:ind w:left="3600" w:hanging="360"/>
      </w:pPr>
    </w:lvl>
    <w:lvl w:ilvl="5" w:tplc="A50C4528">
      <w:start w:val="1"/>
      <w:numFmt w:val="bullet"/>
      <w:lvlText w:val="■"/>
      <w:lvlJc w:val="left"/>
      <w:pPr>
        <w:ind w:left="4320" w:hanging="360"/>
      </w:pPr>
    </w:lvl>
    <w:lvl w:ilvl="6" w:tplc="5AE444EA">
      <w:start w:val="1"/>
      <w:numFmt w:val="bullet"/>
      <w:lvlText w:val="●"/>
      <w:lvlJc w:val="left"/>
      <w:pPr>
        <w:ind w:left="5040" w:hanging="360"/>
      </w:pPr>
    </w:lvl>
    <w:lvl w:ilvl="7" w:tplc="42763290">
      <w:start w:val="1"/>
      <w:numFmt w:val="bullet"/>
      <w:lvlText w:val="●"/>
      <w:lvlJc w:val="left"/>
      <w:pPr>
        <w:ind w:left="5760" w:hanging="360"/>
      </w:pPr>
    </w:lvl>
    <w:lvl w:ilvl="8" w:tplc="35044AD6">
      <w:start w:val="1"/>
      <w:numFmt w:val="bullet"/>
      <w:lvlText w:val="●"/>
      <w:lvlJc w:val="left"/>
      <w:pPr>
        <w:ind w:left="6480" w:hanging="360"/>
      </w:pPr>
    </w:lvl>
  </w:abstractNum>
  <w:abstractNum w:abstractNumId="2" w15:restartNumberingAfterBreak="0">
    <w:nsid w:val="79173E05"/>
    <w:multiLevelType w:val="hybridMultilevel"/>
    <w:tmpl w:val="E88CDEA4"/>
    <w:lvl w:ilvl="0" w:tplc="C2967AB6">
      <w:start w:val="1"/>
      <w:numFmt w:val="bullet"/>
      <w:lvlText w:val="•"/>
      <w:lvlJc w:val="left"/>
      <w:pPr>
        <w:ind w:left="460" w:hanging="260"/>
      </w:pPr>
    </w:lvl>
    <w:lvl w:ilvl="1" w:tplc="F84C04E4">
      <w:numFmt w:val="decimal"/>
      <w:lvlText w:val=""/>
      <w:lvlJc w:val="left"/>
    </w:lvl>
    <w:lvl w:ilvl="2" w:tplc="07405CE0">
      <w:numFmt w:val="decimal"/>
      <w:lvlText w:val=""/>
      <w:lvlJc w:val="left"/>
    </w:lvl>
    <w:lvl w:ilvl="3" w:tplc="89CCC964">
      <w:numFmt w:val="decimal"/>
      <w:lvlText w:val=""/>
      <w:lvlJc w:val="left"/>
    </w:lvl>
    <w:lvl w:ilvl="4" w:tplc="AAB09A6E">
      <w:numFmt w:val="decimal"/>
      <w:lvlText w:val=""/>
      <w:lvlJc w:val="left"/>
    </w:lvl>
    <w:lvl w:ilvl="5" w:tplc="FB28F508">
      <w:numFmt w:val="decimal"/>
      <w:lvlText w:val=""/>
      <w:lvlJc w:val="left"/>
    </w:lvl>
    <w:lvl w:ilvl="6" w:tplc="CF5C98E2">
      <w:numFmt w:val="decimal"/>
      <w:lvlText w:val=""/>
      <w:lvlJc w:val="left"/>
    </w:lvl>
    <w:lvl w:ilvl="7" w:tplc="96DC1AB4">
      <w:numFmt w:val="decimal"/>
      <w:lvlText w:val=""/>
      <w:lvlJc w:val="left"/>
    </w:lvl>
    <w:lvl w:ilvl="8" w:tplc="D256DD30">
      <w:numFmt w:val="decimal"/>
      <w:lvlText w:val=""/>
      <w:lvlJc w:val="left"/>
    </w:lvl>
  </w:abstractNum>
  <w:num w:numId="1" w16cid:durableId="1693605394">
    <w:abstractNumId w:val="1"/>
    <w:lvlOverride w:ilvl="0">
      <w:startOverride w:val="1"/>
    </w:lvlOverride>
  </w:num>
  <w:num w:numId="2" w16cid:durableId="1618440761">
    <w:abstractNumId w:val="2"/>
    <w:lvlOverride w:ilvl="0">
      <w:startOverride w:val="1"/>
    </w:lvlOverride>
  </w:num>
  <w:num w:numId="3" w16cid:durableId="15538814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F03"/>
    <w:rsid w:val="00063897"/>
    <w:rsid w:val="00622601"/>
    <w:rsid w:val="008F247D"/>
    <w:rsid w:val="009C62CF"/>
    <w:rsid w:val="00AA4F87"/>
    <w:rsid w:val="00CB47DD"/>
    <w:rsid w:val="00DA574D"/>
    <w:rsid w:val="00ED2F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780D6"/>
  <w15:docId w15:val="{F6D7FF9E-D433-4883-9AFE-CF1D41067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5E9D4-DA78-4B57-B92A-EC75B7C0D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2779</Words>
  <Characters>15843</Characters>
  <Application>Microsoft Office Word</Application>
  <DocSecurity>0</DocSecurity>
  <Lines>132</Lines>
  <Paragraphs>37</Paragraphs>
  <ScaleCrop>false</ScaleCrop>
  <Company/>
  <LinksUpToDate>false</LinksUpToDate>
  <CharactersWithSpaces>18585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Kaushik Kaushik.D</cp:lastModifiedBy>
  <cp:revision>6</cp:revision>
  <dcterms:created xsi:type="dcterms:W3CDTF">2026-07-17T04:28:00Z</dcterms:created>
  <dcterms:modified xsi:type="dcterms:W3CDTF">2026-07-17T04:33:00Z</dcterms:modified>
</cp:coreProperties>
</file>