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4EAFD0" w14:textId="77777777" w:rsidR="00036C40" w:rsidRPr="002B51DE" w:rsidRDefault="00036C40" w:rsidP="00963BC1">
      <w:pPr>
        <w:spacing w:before="1600"/>
        <w:jc w:val="right"/>
        <w:rPr>
          <w:rFonts w:ascii="Times New Roman" w:hAnsi="Times New Roman" w:cs="Times New Roman"/>
          <w:color w:val="000000" w:themeColor="text1"/>
        </w:rPr>
      </w:pPr>
    </w:p>
    <w:p w14:paraId="7482AAC0" w14:textId="417FEBEE" w:rsidR="00036C40" w:rsidRPr="002B51DE" w:rsidRDefault="001A68E7" w:rsidP="004114E8">
      <w:pPr>
        <w:spacing w:after="120"/>
        <w:jc w:val="center"/>
        <w:rPr>
          <w:rFonts w:ascii="Times New Roman" w:hAnsi="Times New Roman" w:cs="Times New Roman"/>
          <w:color w:val="000000" w:themeColor="text1"/>
        </w:rPr>
      </w:pPr>
      <w:r w:rsidRPr="002B51DE">
        <w:rPr>
          <w:rFonts w:ascii="Times New Roman" w:hAnsi="Times New Roman" w:cs="Times New Roman"/>
          <w:b/>
          <w:bCs/>
          <w:color w:val="000000" w:themeColor="text1"/>
          <w:sz w:val="52"/>
          <w:szCs w:val="52"/>
        </w:rPr>
        <w:t>CASE ANALYSIS REPORT</w:t>
      </w:r>
    </w:p>
    <w:p w14:paraId="53DD6ABB" w14:textId="77777777" w:rsidR="00036C40" w:rsidRPr="002B51DE" w:rsidRDefault="00036C40">
      <w:pPr>
        <w:spacing w:before="500"/>
        <w:rPr>
          <w:rFonts w:ascii="Times New Roman" w:hAnsi="Times New Roman" w:cs="Times New Roman"/>
          <w:color w:val="000000" w:themeColor="text1"/>
        </w:rPr>
      </w:pPr>
    </w:p>
    <w:p w14:paraId="70545FD2" w14:textId="77777777" w:rsidR="00036C40" w:rsidRPr="002B51DE" w:rsidRDefault="001A68E7">
      <w:pPr>
        <w:spacing w:after="30"/>
        <w:jc w:val="center"/>
        <w:rPr>
          <w:rFonts w:ascii="Times New Roman" w:hAnsi="Times New Roman" w:cs="Times New Roman"/>
          <w:color w:val="000000" w:themeColor="text1"/>
        </w:rPr>
      </w:pPr>
      <w:r w:rsidRPr="002B51DE">
        <w:rPr>
          <w:rFonts w:ascii="Times New Roman" w:hAnsi="Times New Roman" w:cs="Times New Roman"/>
          <w:b/>
          <w:bCs/>
          <w:i/>
          <w:iCs/>
          <w:color w:val="000000" w:themeColor="text1"/>
          <w:sz w:val="34"/>
          <w:szCs w:val="34"/>
        </w:rPr>
        <w:t>Carlill v. Carbolic Smoke Ball Company</w:t>
      </w:r>
    </w:p>
    <w:p w14:paraId="6FECFDF6" w14:textId="77777777" w:rsidR="00036C40" w:rsidRPr="005F49B2" w:rsidRDefault="001A68E7">
      <w:pPr>
        <w:spacing w:after="700"/>
        <w:jc w:val="center"/>
        <w:rPr>
          <w:rFonts w:ascii="Times New Roman" w:hAnsi="Times New Roman" w:cs="Times New Roman"/>
          <w:color w:val="000000" w:themeColor="text1"/>
        </w:rPr>
      </w:pPr>
      <w:r w:rsidRPr="005F49B2">
        <w:rPr>
          <w:rFonts w:ascii="Times New Roman" w:hAnsi="Times New Roman" w:cs="Times New Roman"/>
          <w:color w:val="000000" w:themeColor="text1"/>
          <w:sz w:val="24"/>
          <w:szCs w:val="24"/>
        </w:rPr>
        <w:t>(1893) 1 QB 256, Court of Appeal (England and Wales)</w:t>
      </w:r>
    </w:p>
    <w:p w14:paraId="71D7BE2D" w14:textId="77777777" w:rsidR="00036C40" w:rsidRPr="002B51DE" w:rsidRDefault="00036C40">
      <w:pPr>
        <w:spacing w:before="900"/>
        <w:rPr>
          <w:rFonts w:ascii="Times New Roman" w:hAnsi="Times New Roman" w:cs="Times New Roman"/>
          <w:color w:val="000000" w:themeColor="text1"/>
        </w:rPr>
      </w:pPr>
    </w:p>
    <w:p w14:paraId="7CA7AF44" w14:textId="77777777" w:rsidR="00036C40" w:rsidRPr="002B51DE" w:rsidRDefault="001A68E7">
      <w:pPr>
        <w:spacing w:after="180"/>
        <w:jc w:val="center"/>
        <w:rPr>
          <w:rFonts w:ascii="Times New Roman" w:hAnsi="Times New Roman" w:cs="Times New Roman"/>
          <w:color w:val="000000" w:themeColor="text1"/>
        </w:rPr>
      </w:pPr>
      <w:r w:rsidRPr="002B51DE">
        <w:rPr>
          <w:rFonts w:ascii="Times New Roman" w:hAnsi="Times New Roman" w:cs="Times New Roman"/>
          <w:b/>
          <w:bCs/>
          <w:color w:val="000000" w:themeColor="text1"/>
          <w:sz w:val="24"/>
          <w:szCs w:val="24"/>
        </w:rPr>
        <w:t xml:space="preserve">Student Name: </w:t>
      </w:r>
      <w:r w:rsidRPr="002B51DE">
        <w:rPr>
          <w:rFonts w:ascii="Times New Roman" w:hAnsi="Times New Roman" w:cs="Times New Roman"/>
          <w:color w:val="000000" w:themeColor="text1"/>
          <w:sz w:val="24"/>
          <w:szCs w:val="24"/>
        </w:rPr>
        <w:t>Kaushik.D</w:t>
      </w:r>
    </w:p>
    <w:p w14:paraId="47FBCBB3" w14:textId="77777777" w:rsidR="00036C40" w:rsidRPr="002B51DE" w:rsidRDefault="001A68E7">
      <w:pPr>
        <w:spacing w:after="180"/>
        <w:jc w:val="center"/>
        <w:rPr>
          <w:rFonts w:ascii="Times New Roman" w:hAnsi="Times New Roman" w:cs="Times New Roman"/>
          <w:color w:val="000000" w:themeColor="text1"/>
        </w:rPr>
      </w:pPr>
      <w:r w:rsidRPr="002B51DE">
        <w:rPr>
          <w:rFonts w:ascii="Times New Roman" w:hAnsi="Times New Roman" w:cs="Times New Roman"/>
          <w:b/>
          <w:bCs/>
          <w:color w:val="000000" w:themeColor="text1"/>
          <w:sz w:val="24"/>
          <w:szCs w:val="24"/>
        </w:rPr>
        <w:t xml:space="preserve">Register Number: </w:t>
      </w:r>
      <w:r w:rsidRPr="002B51DE">
        <w:rPr>
          <w:rFonts w:ascii="Times New Roman" w:hAnsi="Times New Roman" w:cs="Times New Roman"/>
          <w:color w:val="000000" w:themeColor="text1"/>
          <w:sz w:val="24"/>
          <w:szCs w:val="24"/>
        </w:rPr>
        <w:t>5272510207</w:t>
      </w:r>
    </w:p>
    <w:p w14:paraId="21C25F95" w14:textId="77777777" w:rsidR="00036C40" w:rsidRPr="002B51DE" w:rsidRDefault="001A68E7">
      <w:pPr>
        <w:spacing w:after="180"/>
        <w:jc w:val="center"/>
        <w:rPr>
          <w:rFonts w:ascii="Times New Roman" w:hAnsi="Times New Roman" w:cs="Times New Roman"/>
          <w:color w:val="000000" w:themeColor="text1"/>
        </w:rPr>
      </w:pPr>
      <w:r w:rsidRPr="002B51DE">
        <w:rPr>
          <w:rFonts w:ascii="Times New Roman" w:hAnsi="Times New Roman" w:cs="Times New Roman"/>
          <w:b/>
          <w:bCs/>
          <w:color w:val="000000" w:themeColor="text1"/>
          <w:sz w:val="24"/>
          <w:szCs w:val="24"/>
        </w:rPr>
        <w:t xml:space="preserve">Course: </w:t>
      </w:r>
      <w:proofErr w:type="gramStart"/>
      <w:r w:rsidRPr="002B51DE">
        <w:rPr>
          <w:rFonts w:ascii="Times New Roman" w:hAnsi="Times New Roman" w:cs="Times New Roman"/>
          <w:color w:val="000000" w:themeColor="text1"/>
          <w:sz w:val="24"/>
          <w:szCs w:val="24"/>
        </w:rPr>
        <w:t>B.Com</w:t>
      </w:r>
      <w:proofErr w:type="gramEnd"/>
      <w:r w:rsidRPr="002B51DE">
        <w:rPr>
          <w:rFonts w:ascii="Times New Roman" w:hAnsi="Times New Roman" w:cs="Times New Roman"/>
          <w:color w:val="000000" w:themeColor="text1"/>
          <w:sz w:val="24"/>
          <w:szCs w:val="24"/>
        </w:rPr>
        <w:t xml:space="preserve"> Fintech with AI</w:t>
      </w:r>
    </w:p>
    <w:p w14:paraId="38D98A88" w14:textId="77777777" w:rsidR="00036C40" w:rsidRPr="002B51DE" w:rsidRDefault="001A68E7">
      <w:pPr>
        <w:spacing w:after="180"/>
        <w:jc w:val="center"/>
        <w:rPr>
          <w:rFonts w:ascii="Times New Roman" w:hAnsi="Times New Roman" w:cs="Times New Roman"/>
          <w:color w:val="000000" w:themeColor="text1"/>
        </w:rPr>
      </w:pPr>
      <w:r w:rsidRPr="002B51DE">
        <w:rPr>
          <w:rFonts w:ascii="Times New Roman" w:hAnsi="Times New Roman" w:cs="Times New Roman"/>
          <w:b/>
          <w:bCs/>
          <w:color w:val="000000" w:themeColor="text1"/>
          <w:sz w:val="24"/>
          <w:szCs w:val="24"/>
        </w:rPr>
        <w:t xml:space="preserve">Activity Title: </w:t>
      </w:r>
      <w:r w:rsidRPr="002B51DE">
        <w:rPr>
          <w:rFonts w:ascii="Times New Roman" w:hAnsi="Times New Roman" w:cs="Times New Roman"/>
          <w:color w:val="000000" w:themeColor="text1"/>
          <w:sz w:val="24"/>
          <w:szCs w:val="24"/>
        </w:rPr>
        <w:t>Case Analysis of Carlill v. Carbolic Smoke Ball Company (1893)</w:t>
      </w:r>
    </w:p>
    <w:p w14:paraId="0CA44E1D" w14:textId="77777777" w:rsidR="00036C40" w:rsidRPr="002B51DE" w:rsidRDefault="00036C40">
      <w:pPr>
        <w:rPr>
          <w:rFonts w:ascii="Times New Roman" w:hAnsi="Times New Roman" w:cs="Times New Roman"/>
          <w:color w:val="000000" w:themeColor="text1"/>
        </w:rPr>
        <w:sectPr w:rsidR="00036C40" w:rsidRPr="002B51DE">
          <w:pgSz w:w="12240" w:h="15840"/>
          <w:pgMar w:top="1440" w:right="1440" w:bottom="1440" w:left="1440" w:header="708" w:footer="708" w:gutter="0"/>
          <w:cols w:space="720"/>
          <w:docGrid w:linePitch="360"/>
        </w:sectPr>
      </w:pPr>
    </w:p>
    <w:p w14:paraId="6E261EFC" w14:textId="77777777" w:rsidR="005F49B2" w:rsidRDefault="005F49B2">
      <w:pPr>
        <w:pStyle w:val="Heading1"/>
        <w:pBdr>
          <w:bottom w:val="single" w:sz="8" w:space="4" w:color="1F3864"/>
        </w:pBdr>
        <w:spacing w:before="400" w:after="200"/>
        <w:rPr>
          <w:rFonts w:ascii="Times New Roman" w:hAnsi="Times New Roman" w:cs="Times New Roman"/>
          <w:b/>
          <w:bCs/>
          <w:color w:val="000000" w:themeColor="text1"/>
          <w:sz w:val="30"/>
          <w:szCs w:val="30"/>
        </w:rPr>
      </w:pPr>
    </w:p>
    <w:p w14:paraId="45F15966" w14:textId="1BB2ACC3" w:rsidR="00763FAB" w:rsidRPr="00C55FF8" w:rsidRDefault="00763FAB" w:rsidP="006550D7">
      <w:pPr>
        <w:pStyle w:val="Heading1"/>
        <w:pBdr>
          <w:bottom w:val="single" w:sz="8" w:space="4" w:color="1F3864"/>
        </w:pBdr>
        <w:spacing w:before="400" w:after="200"/>
        <w:jc w:val="center"/>
      </w:pPr>
      <w:r w:rsidRPr="00985026">
        <w:rPr>
          <w:rFonts w:ascii="Times New Roman" w:hAnsi="Times New Roman" w:cs="Times New Roman"/>
          <w:b/>
          <w:bCs/>
          <w:color w:val="000000" w:themeColor="text1"/>
          <w:sz w:val="28"/>
          <w:szCs w:val="28"/>
        </w:rPr>
        <w:t>Table of content</w:t>
      </w:r>
    </w:p>
    <w:tbl>
      <w:tblPr>
        <w:tblStyle w:val="TableGrid"/>
        <w:tblW w:w="0" w:type="auto"/>
        <w:tblLook w:val="04A0" w:firstRow="1" w:lastRow="0" w:firstColumn="1" w:lastColumn="0" w:noHBand="0" w:noVBand="1"/>
      </w:tblPr>
      <w:tblGrid>
        <w:gridCol w:w="1129"/>
        <w:gridCol w:w="8221"/>
      </w:tblGrid>
      <w:tr w:rsidR="00763FAB" w14:paraId="71D70F54" w14:textId="77777777" w:rsidTr="00B537B2">
        <w:trPr>
          <w:trHeight w:val="1064"/>
        </w:trPr>
        <w:tc>
          <w:tcPr>
            <w:tcW w:w="1129" w:type="dxa"/>
          </w:tcPr>
          <w:p w14:paraId="56FF7977" w14:textId="77777777" w:rsidR="00763FAB" w:rsidRDefault="00763FAB">
            <w:pPr>
              <w:pStyle w:val="Heading1"/>
              <w:spacing w:before="360" w:after="200"/>
              <w:jc w:val="both"/>
              <w:rPr>
                <w:rFonts w:ascii="Times New Roman" w:hAnsi="Times New Roman" w:cs="Times New Roman"/>
                <w:b/>
                <w:bCs/>
                <w:color w:val="000000" w:themeColor="text1"/>
                <w:sz w:val="24"/>
                <w:szCs w:val="24"/>
              </w:rPr>
            </w:pPr>
          </w:p>
          <w:p w14:paraId="21E3BB26" w14:textId="77777777" w:rsidR="00763FAB" w:rsidRDefault="00763FAB">
            <w:pPr>
              <w:pStyle w:val="Heading1"/>
              <w:spacing w:before="360" w:after="200"/>
              <w:jc w:val="both"/>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S.NO</w:t>
            </w:r>
          </w:p>
        </w:tc>
        <w:tc>
          <w:tcPr>
            <w:tcW w:w="8221" w:type="dxa"/>
          </w:tcPr>
          <w:p w14:paraId="388F7061" w14:textId="77777777" w:rsidR="00763FAB" w:rsidRDefault="00763FAB">
            <w:pPr>
              <w:pStyle w:val="Heading1"/>
              <w:spacing w:before="360" w:after="200"/>
              <w:jc w:val="cente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Topics</w:t>
            </w:r>
          </w:p>
        </w:tc>
      </w:tr>
      <w:tr w:rsidR="00763FAB" w14:paraId="1ADC90DB" w14:textId="77777777">
        <w:trPr>
          <w:trHeight w:val="569"/>
        </w:trPr>
        <w:tc>
          <w:tcPr>
            <w:tcW w:w="1129" w:type="dxa"/>
          </w:tcPr>
          <w:p w14:paraId="6273FE67" w14:textId="77777777" w:rsidR="00763FAB" w:rsidRPr="00267176" w:rsidRDefault="00763FAB">
            <w:pPr>
              <w:pStyle w:val="Heading1"/>
              <w:spacing w:before="360" w:after="200"/>
              <w:jc w:val="both"/>
              <w:rPr>
                <w:rFonts w:ascii="Times New Roman" w:hAnsi="Times New Roman" w:cs="Times New Roman"/>
                <w:color w:val="000000" w:themeColor="text1"/>
                <w:sz w:val="24"/>
                <w:szCs w:val="24"/>
              </w:rPr>
            </w:pPr>
            <w:r w:rsidRPr="00267176">
              <w:rPr>
                <w:rFonts w:ascii="Times New Roman" w:hAnsi="Times New Roman" w:cs="Times New Roman"/>
                <w:color w:val="000000" w:themeColor="text1"/>
                <w:sz w:val="24"/>
                <w:szCs w:val="24"/>
              </w:rPr>
              <w:t>1</w:t>
            </w:r>
          </w:p>
        </w:tc>
        <w:tc>
          <w:tcPr>
            <w:tcW w:w="8221" w:type="dxa"/>
          </w:tcPr>
          <w:p w14:paraId="16F39D0C" w14:textId="77777777" w:rsidR="00763FAB" w:rsidRPr="00267176" w:rsidRDefault="00763FAB">
            <w:pPr>
              <w:pStyle w:val="Heading1"/>
              <w:spacing w:before="360" w:after="200"/>
              <w:jc w:val="both"/>
              <w:rPr>
                <w:rFonts w:ascii="Times New Roman" w:hAnsi="Times New Roman" w:cs="Times New Roman"/>
                <w:color w:val="000000" w:themeColor="text1"/>
                <w:sz w:val="24"/>
                <w:szCs w:val="24"/>
              </w:rPr>
            </w:pPr>
            <w:r w:rsidRPr="00267176">
              <w:rPr>
                <w:rFonts w:ascii="Times New Roman" w:hAnsi="Times New Roman" w:cs="Times New Roman"/>
                <w:color w:val="000000" w:themeColor="text1"/>
                <w:sz w:val="24"/>
                <w:szCs w:val="24"/>
              </w:rPr>
              <w:t>Introduction</w:t>
            </w:r>
          </w:p>
        </w:tc>
      </w:tr>
      <w:tr w:rsidR="00763FAB" w14:paraId="58AA9D7A" w14:textId="77777777">
        <w:tc>
          <w:tcPr>
            <w:tcW w:w="1129" w:type="dxa"/>
          </w:tcPr>
          <w:p w14:paraId="1AADDD94" w14:textId="77777777" w:rsidR="00763FAB" w:rsidRPr="00267176" w:rsidRDefault="00763FAB">
            <w:pPr>
              <w:pStyle w:val="Heading1"/>
              <w:spacing w:before="360" w:after="200"/>
              <w:jc w:val="both"/>
              <w:rPr>
                <w:rFonts w:ascii="Times New Roman" w:hAnsi="Times New Roman" w:cs="Times New Roman"/>
                <w:color w:val="000000" w:themeColor="text1"/>
                <w:sz w:val="24"/>
                <w:szCs w:val="24"/>
              </w:rPr>
            </w:pPr>
            <w:r w:rsidRPr="00267176">
              <w:rPr>
                <w:rFonts w:ascii="Times New Roman" w:hAnsi="Times New Roman" w:cs="Times New Roman"/>
                <w:color w:val="000000" w:themeColor="text1"/>
                <w:sz w:val="24"/>
                <w:szCs w:val="24"/>
              </w:rPr>
              <w:t>2</w:t>
            </w:r>
          </w:p>
        </w:tc>
        <w:tc>
          <w:tcPr>
            <w:tcW w:w="8221" w:type="dxa"/>
          </w:tcPr>
          <w:p w14:paraId="1B1A3D33" w14:textId="77777777" w:rsidR="00763FAB" w:rsidRPr="00267176" w:rsidRDefault="00763FAB">
            <w:pPr>
              <w:pStyle w:val="Heading1"/>
              <w:spacing w:before="360" w:after="200"/>
              <w:jc w:val="both"/>
              <w:rPr>
                <w:rFonts w:ascii="Times New Roman" w:hAnsi="Times New Roman" w:cs="Times New Roman"/>
                <w:color w:val="000000" w:themeColor="text1"/>
                <w:sz w:val="24"/>
                <w:szCs w:val="24"/>
              </w:rPr>
            </w:pPr>
            <w:r w:rsidRPr="00267176">
              <w:rPr>
                <w:rFonts w:ascii="Times New Roman" w:hAnsi="Times New Roman" w:cs="Times New Roman"/>
                <w:color w:val="000000" w:themeColor="text1"/>
                <w:sz w:val="24"/>
                <w:szCs w:val="24"/>
              </w:rPr>
              <w:t>Facts of the case</w:t>
            </w:r>
          </w:p>
        </w:tc>
      </w:tr>
      <w:tr w:rsidR="00763FAB" w14:paraId="0B6495AD" w14:textId="77777777">
        <w:tc>
          <w:tcPr>
            <w:tcW w:w="1129" w:type="dxa"/>
          </w:tcPr>
          <w:p w14:paraId="246823E5" w14:textId="77777777" w:rsidR="00763FAB" w:rsidRPr="00267176" w:rsidRDefault="00763FAB">
            <w:pPr>
              <w:pStyle w:val="Heading1"/>
              <w:spacing w:before="360" w:after="200"/>
              <w:jc w:val="both"/>
              <w:rPr>
                <w:rFonts w:ascii="Times New Roman" w:hAnsi="Times New Roman" w:cs="Times New Roman"/>
                <w:color w:val="000000" w:themeColor="text1"/>
                <w:sz w:val="24"/>
                <w:szCs w:val="24"/>
              </w:rPr>
            </w:pPr>
            <w:r w:rsidRPr="00267176">
              <w:rPr>
                <w:rFonts w:ascii="Times New Roman" w:hAnsi="Times New Roman" w:cs="Times New Roman"/>
                <w:color w:val="000000" w:themeColor="text1"/>
                <w:sz w:val="24"/>
                <w:szCs w:val="24"/>
              </w:rPr>
              <w:t>3</w:t>
            </w:r>
          </w:p>
        </w:tc>
        <w:tc>
          <w:tcPr>
            <w:tcW w:w="8221" w:type="dxa"/>
          </w:tcPr>
          <w:p w14:paraId="4A35C21C" w14:textId="77777777" w:rsidR="00763FAB" w:rsidRPr="00267176" w:rsidRDefault="00763FAB">
            <w:pPr>
              <w:pStyle w:val="Heading1"/>
              <w:spacing w:before="360" w:after="200"/>
              <w:jc w:val="both"/>
              <w:rPr>
                <w:rFonts w:ascii="Times New Roman" w:hAnsi="Times New Roman" w:cs="Times New Roman"/>
                <w:color w:val="000000" w:themeColor="text1"/>
                <w:sz w:val="24"/>
                <w:szCs w:val="24"/>
              </w:rPr>
            </w:pPr>
            <w:r w:rsidRPr="00267176">
              <w:rPr>
                <w:rFonts w:ascii="Times New Roman" w:hAnsi="Times New Roman" w:cs="Times New Roman"/>
                <w:color w:val="000000" w:themeColor="text1"/>
                <w:sz w:val="24"/>
                <w:szCs w:val="24"/>
              </w:rPr>
              <w:t>Legal Issue</w:t>
            </w:r>
          </w:p>
        </w:tc>
      </w:tr>
      <w:tr w:rsidR="00763FAB" w14:paraId="619CAC09" w14:textId="77777777">
        <w:tc>
          <w:tcPr>
            <w:tcW w:w="1129" w:type="dxa"/>
          </w:tcPr>
          <w:p w14:paraId="2CCEB7BC" w14:textId="77777777" w:rsidR="00763FAB" w:rsidRPr="00267176" w:rsidRDefault="00763FAB">
            <w:pPr>
              <w:pStyle w:val="Heading1"/>
              <w:spacing w:before="360" w:after="200"/>
              <w:jc w:val="both"/>
              <w:rPr>
                <w:rFonts w:ascii="Times New Roman" w:hAnsi="Times New Roman" w:cs="Times New Roman"/>
                <w:color w:val="000000" w:themeColor="text1"/>
                <w:sz w:val="24"/>
                <w:szCs w:val="24"/>
              </w:rPr>
            </w:pPr>
            <w:r w:rsidRPr="00267176">
              <w:rPr>
                <w:rFonts w:ascii="Times New Roman" w:hAnsi="Times New Roman" w:cs="Times New Roman"/>
                <w:color w:val="000000" w:themeColor="text1"/>
                <w:sz w:val="24"/>
                <w:szCs w:val="24"/>
              </w:rPr>
              <w:t>4</w:t>
            </w:r>
          </w:p>
        </w:tc>
        <w:tc>
          <w:tcPr>
            <w:tcW w:w="8221" w:type="dxa"/>
          </w:tcPr>
          <w:p w14:paraId="116B6F62" w14:textId="77777777" w:rsidR="00763FAB" w:rsidRPr="00267176" w:rsidRDefault="00763FAB">
            <w:pPr>
              <w:pStyle w:val="Heading1"/>
              <w:spacing w:before="360" w:after="200"/>
              <w:jc w:val="both"/>
              <w:rPr>
                <w:rFonts w:ascii="Times New Roman" w:hAnsi="Times New Roman" w:cs="Times New Roman"/>
                <w:color w:val="000000" w:themeColor="text1"/>
                <w:sz w:val="24"/>
                <w:szCs w:val="24"/>
              </w:rPr>
            </w:pPr>
            <w:r w:rsidRPr="00267176">
              <w:rPr>
                <w:rFonts w:ascii="Times New Roman" w:hAnsi="Times New Roman" w:cs="Times New Roman"/>
                <w:color w:val="000000" w:themeColor="text1"/>
                <w:sz w:val="24"/>
                <w:szCs w:val="24"/>
              </w:rPr>
              <w:t>Judgement</w:t>
            </w:r>
          </w:p>
        </w:tc>
      </w:tr>
      <w:tr w:rsidR="00763FAB" w14:paraId="75066ED1" w14:textId="77777777">
        <w:tc>
          <w:tcPr>
            <w:tcW w:w="1129" w:type="dxa"/>
          </w:tcPr>
          <w:p w14:paraId="5280C044" w14:textId="77777777" w:rsidR="00763FAB" w:rsidRPr="00267176" w:rsidRDefault="00763FAB">
            <w:pPr>
              <w:pStyle w:val="Heading1"/>
              <w:spacing w:before="360" w:after="200"/>
              <w:jc w:val="both"/>
              <w:rPr>
                <w:rFonts w:ascii="Times New Roman" w:hAnsi="Times New Roman" w:cs="Times New Roman"/>
                <w:color w:val="000000" w:themeColor="text1"/>
                <w:sz w:val="24"/>
                <w:szCs w:val="24"/>
              </w:rPr>
            </w:pPr>
            <w:r w:rsidRPr="00267176">
              <w:rPr>
                <w:rFonts w:ascii="Times New Roman" w:hAnsi="Times New Roman" w:cs="Times New Roman"/>
                <w:color w:val="000000" w:themeColor="text1"/>
                <w:sz w:val="24"/>
                <w:szCs w:val="24"/>
              </w:rPr>
              <w:t>5</w:t>
            </w:r>
          </w:p>
        </w:tc>
        <w:tc>
          <w:tcPr>
            <w:tcW w:w="8221" w:type="dxa"/>
          </w:tcPr>
          <w:p w14:paraId="305CD93B" w14:textId="77777777" w:rsidR="00763FAB" w:rsidRPr="00267176" w:rsidRDefault="00763FAB">
            <w:pPr>
              <w:pStyle w:val="Heading1"/>
              <w:spacing w:before="360" w:after="200"/>
              <w:jc w:val="both"/>
              <w:rPr>
                <w:rFonts w:ascii="Times New Roman" w:hAnsi="Times New Roman" w:cs="Times New Roman"/>
                <w:color w:val="000000" w:themeColor="text1"/>
                <w:sz w:val="24"/>
                <w:szCs w:val="24"/>
              </w:rPr>
            </w:pPr>
            <w:r w:rsidRPr="00267176">
              <w:rPr>
                <w:rFonts w:ascii="Times New Roman" w:hAnsi="Times New Roman" w:cs="Times New Roman"/>
                <w:color w:val="000000" w:themeColor="text1"/>
                <w:sz w:val="24"/>
                <w:szCs w:val="24"/>
              </w:rPr>
              <w:t>Legal Principle: Contract Formation Analysis</w:t>
            </w:r>
          </w:p>
        </w:tc>
      </w:tr>
      <w:tr w:rsidR="00763FAB" w14:paraId="239B5B60" w14:textId="77777777">
        <w:tc>
          <w:tcPr>
            <w:tcW w:w="1129" w:type="dxa"/>
          </w:tcPr>
          <w:p w14:paraId="12D64595" w14:textId="77777777" w:rsidR="00763FAB" w:rsidRPr="00267176" w:rsidRDefault="00763FAB">
            <w:pPr>
              <w:pStyle w:val="Heading1"/>
              <w:spacing w:before="360" w:after="200"/>
              <w:jc w:val="both"/>
              <w:rPr>
                <w:rFonts w:ascii="Times New Roman" w:hAnsi="Times New Roman" w:cs="Times New Roman"/>
                <w:color w:val="000000" w:themeColor="text1"/>
                <w:sz w:val="24"/>
                <w:szCs w:val="24"/>
              </w:rPr>
            </w:pPr>
            <w:r w:rsidRPr="00267176">
              <w:rPr>
                <w:rFonts w:ascii="Times New Roman" w:hAnsi="Times New Roman" w:cs="Times New Roman"/>
                <w:color w:val="000000" w:themeColor="text1"/>
                <w:sz w:val="24"/>
                <w:szCs w:val="24"/>
              </w:rPr>
              <w:t>6</w:t>
            </w:r>
          </w:p>
        </w:tc>
        <w:tc>
          <w:tcPr>
            <w:tcW w:w="8221" w:type="dxa"/>
          </w:tcPr>
          <w:p w14:paraId="41383022" w14:textId="77777777" w:rsidR="00763FAB" w:rsidRPr="00267176" w:rsidRDefault="00763FAB">
            <w:pPr>
              <w:pStyle w:val="Heading1"/>
              <w:spacing w:before="360" w:after="200"/>
              <w:jc w:val="both"/>
              <w:rPr>
                <w:rFonts w:ascii="Times New Roman" w:hAnsi="Times New Roman" w:cs="Times New Roman"/>
                <w:color w:val="000000" w:themeColor="text1"/>
                <w:sz w:val="24"/>
                <w:szCs w:val="24"/>
              </w:rPr>
            </w:pPr>
            <w:r w:rsidRPr="00267176">
              <w:rPr>
                <w:rFonts w:ascii="Times New Roman" w:hAnsi="Times New Roman" w:cs="Times New Roman"/>
                <w:color w:val="000000" w:themeColor="text1"/>
                <w:sz w:val="24"/>
                <w:szCs w:val="24"/>
              </w:rPr>
              <w:t>Business Relevance</w:t>
            </w:r>
          </w:p>
        </w:tc>
      </w:tr>
      <w:tr w:rsidR="00763FAB" w14:paraId="7B2EEC1A" w14:textId="77777777">
        <w:tc>
          <w:tcPr>
            <w:tcW w:w="1129" w:type="dxa"/>
          </w:tcPr>
          <w:p w14:paraId="1A0D2F3E" w14:textId="77777777" w:rsidR="00763FAB" w:rsidRPr="00267176" w:rsidRDefault="00763FAB">
            <w:pPr>
              <w:pStyle w:val="Heading1"/>
              <w:spacing w:before="360" w:after="200"/>
              <w:jc w:val="both"/>
              <w:rPr>
                <w:rFonts w:ascii="Times New Roman" w:hAnsi="Times New Roman" w:cs="Times New Roman"/>
                <w:color w:val="000000" w:themeColor="text1"/>
                <w:sz w:val="24"/>
                <w:szCs w:val="24"/>
              </w:rPr>
            </w:pPr>
            <w:r w:rsidRPr="00267176">
              <w:rPr>
                <w:rFonts w:ascii="Times New Roman" w:hAnsi="Times New Roman" w:cs="Times New Roman"/>
                <w:color w:val="000000" w:themeColor="text1"/>
                <w:sz w:val="24"/>
                <w:szCs w:val="24"/>
              </w:rPr>
              <w:t>7</w:t>
            </w:r>
          </w:p>
        </w:tc>
        <w:tc>
          <w:tcPr>
            <w:tcW w:w="8221" w:type="dxa"/>
          </w:tcPr>
          <w:p w14:paraId="06DA2E4D" w14:textId="77777777" w:rsidR="00763FAB" w:rsidRPr="00267176" w:rsidRDefault="00763FAB">
            <w:pPr>
              <w:pStyle w:val="Heading1"/>
              <w:spacing w:before="360" w:after="200"/>
              <w:jc w:val="both"/>
              <w:rPr>
                <w:rFonts w:ascii="Times New Roman" w:hAnsi="Times New Roman" w:cs="Times New Roman"/>
                <w:color w:val="000000" w:themeColor="text1"/>
                <w:sz w:val="24"/>
                <w:szCs w:val="24"/>
              </w:rPr>
            </w:pPr>
            <w:r w:rsidRPr="00267176">
              <w:rPr>
                <w:rFonts w:ascii="Times New Roman" w:hAnsi="Times New Roman" w:cs="Times New Roman"/>
                <w:color w:val="000000" w:themeColor="text1"/>
                <w:sz w:val="24"/>
                <w:szCs w:val="24"/>
              </w:rPr>
              <w:t>Conclusion</w:t>
            </w:r>
          </w:p>
        </w:tc>
      </w:tr>
    </w:tbl>
    <w:p w14:paraId="53399FA3" w14:textId="378FD09A" w:rsidR="6959ABDE" w:rsidRDefault="6959ABDE" w:rsidP="6959ABDE">
      <w:pPr>
        <w:pStyle w:val="Heading1"/>
        <w:pBdr>
          <w:bottom w:val="single" w:sz="8" w:space="4" w:color="1F3864"/>
        </w:pBdr>
        <w:spacing w:before="400" w:after="200"/>
        <w:rPr>
          <w:rFonts w:ascii="Times New Roman" w:hAnsi="Times New Roman" w:cs="Times New Roman"/>
          <w:b/>
          <w:bCs/>
          <w:color w:val="000000" w:themeColor="text1"/>
          <w:sz w:val="30"/>
          <w:szCs w:val="30"/>
        </w:rPr>
      </w:pPr>
    </w:p>
    <w:p w14:paraId="40951A94" w14:textId="77777777" w:rsidR="005F49B2" w:rsidRDefault="005F49B2">
      <w:pPr>
        <w:pStyle w:val="Heading1"/>
        <w:pBdr>
          <w:bottom w:val="single" w:sz="8" w:space="4" w:color="1F3864"/>
        </w:pBdr>
        <w:spacing w:before="400" w:after="200"/>
        <w:rPr>
          <w:rFonts w:ascii="Times New Roman" w:hAnsi="Times New Roman" w:cs="Times New Roman"/>
          <w:b/>
          <w:bCs/>
          <w:color w:val="000000" w:themeColor="text1"/>
          <w:sz w:val="30"/>
          <w:szCs w:val="30"/>
        </w:rPr>
      </w:pPr>
    </w:p>
    <w:p w14:paraId="33DEAC53" w14:textId="77777777" w:rsidR="00D43AB0" w:rsidRDefault="00D43AB0">
      <w:pPr>
        <w:pStyle w:val="Heading1"/>
        <w:pBdr>
          <w:bottom w:val="single" w:sz="8" w:space="4" w:color="1F3864"/>
        </w:pBdr>
        <w:spacing w:before="400" w:after="200"/>
        <w:rPr>
          <w:rFonts w:ascii="Times New Roman" w:hAnsi="Times New Roman" w:cs="Times New Roman"/>
          <w:b/>
          <w:bCs/>
          <w:color w:val="000000" w:themeColor="text1"/>
          <w:sz w:val="30"/>
          <w:szCs w:val="30"/>
        </w:rPr>
      </w:pPr>
    </w:p>
    <w:p w14:paraId="72BBCB3C" w14:textId="77777777" w:rsidR="00472A9C" w:rsidRDefault="00472A9C" w:rsidP="27012859">
      <w:pPr>
        <w:pStyle w:val="Heading1"/>
        <w:pBdr>
          <w:bottom w:val="single" w:sz="8" w:space="4" w:color="1F3864"/>
        </w:pBdr>
        <w:spacing w:before="400" w:after="200"/>
        <w:rPr>
          <w:rFonts w:ascii="Times New Roman" w:hAnsi="Times New Roman" w:cs="Times New Roman"/>
          <w:b/>
          <w:bCs/>
          <w:color w:val="000000" w:themeColor="text1"/>
          <w:sz w:val="24"/>
          <w:szCs w:val="24"/>
        </w:rPr>
      </w:pPr>
      <w:bookmarkStart w:id="0" w:name="_Toc168478022"/>
    </w:p>
    <w:p w14:paraId="64A7FF67" w14:textId="77777777" w:rsidR="00472A9C" w:rsidRDefault="00472A9C" w:rsidP="27012859">
      <w:pPr>
        <w:pStyle w:val="Heading1"/>
        <w:pBdr>
          <w:bottom w:val="single" w:sz="8" w:space="4" w:color="1F3864"/>
        </w:pBdr>
        <w:spacing w:before="400" w:after="200"/>
        <w:rPr>
          <w:rFonts w:ascii="Times New Roman" w:hAnsi="Times New Roman" w:cs="Times New Roman"/>
          <w:b/>
          <w:bCs/>
          <w:color w:val="000000" w:themeColor="text1"/>
          <w:sz w:val="24"/>
          <w:szCs w:val="24"/>
        </w:rPr>
      </w:pPr>
    </w:p>
    <w:p w14:paraId="165565AF" w14:textId="1BFDEDAF" w:rsidR="00036C40" w:rsidRPr="002C01A9" w:rsidRDefault="27012859" w:rsidP="27012859">
      <w:pPr>
        <w:pStyle w:val="Heading1"/>
        <w:pBdr>
          <w:bottom w:val="single" w:sz="8" w:space="4" w:color="1F3864"/>
        </w:pBdr>
        <w:spacing w:before="400" w:after="200"/>
        <w:rPr>
          <w:rFonts w:ascii="Times New Roman" w:hAnsi="Times New Roman" w:cs="Times New Roman"/>
          <w:color w:val="000000" w:themeColor="text1"/>
          <w:sz w:val="24"/>
          <w:szCs w:val="24"/>
        </w:rPr>
      </w:pPr>
      <w:r w:rsidRPr="27012859">
        <w:rPr>
          <w:rFonts w:ascii="Times New Roman" w:hAnsi="Times New Roman" w:cs="Times New Roman"/>
          <w:b/>
          <w:bCs/>
          <w:color w:val="000000" w:themeColor="text1"/>
          <w:sz w:val="24"/>
          <w:szCs w:val="24"/>
        </w:rPr>
        <w:t>1. Introduction</w:t>
      </w:r>
      <w:bookmarkEnd w:id="0"/>
    </w:p>
    <w:p w14:paraId="652AB86C" w14:textId="77777777" w:rsidR="00036C40" w:rsidRPr="002C01A9" w:rsidRDefault="27012859">
      <w:pPr>
        <w:pStyle w:val="Heading2"/>
        <w:spacing w:before="300" w:after="150"/>
        <w:rPr>
          <w:rFonts w:ascii="Times New Roman" w:hAnsi="Times New Roman" w:cs="Times New Roman"/>
          <w:color w:val="000000" w:themeColor="text1"/>
          <w:sz w:val="24"/>
          <w:szCs w:val="24"/>
        </w:rPr>
      </w:pPr>
      <w:bookmarkStart w:id="1" w:name="_Toc1548156542"/>
      <w:r w:rsidRPr="27012859">
        <w:rPr>
          <w:rFonts w:ascii="Times New Roman" w:hAnsi="Times New Roman" w:cs="Times New Roman"/>
          <w:b/>
          <w:bCs/>
          <w:color w:val="000000" w:themeColor="text1"/>
          <w:sz w:val="24"/>
          <w:szCs w:val="24"/>
        </w:rPr>
        <w:t>1.1 Case Citation and Jurisdiction</w:t>
      </w:r>
      <w:bookmarkEnd w:id="1"/>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50"/>
      </w:tblGrid>
      <w:tr w:rsidR="002D40DF" w:rsidRPr="002C01A9" w14:paraId="0521C13B" w14:textId="77777777">
        <w:tc>
          <w:tcPr>
            <w:tcW w:w="3000" w:type="dxa"/>
            <w:shd w:val="clear" w:color="auto" w:fill="F2F2F2"/>
            <w:tcMar>
              <w:top w:w="100" w:type="dxa"/>
              <w:left w:w="150" w:type="dxa"/>
              <w:bottom w:w="100" w:type="dxa"/>
              <w:right w:w="150" w:type="dxa"/>
            </w:tcMar>
            <w:vAlign w:val="center"/>
          </w:tcPr>
          <w:p w14:paraId="32F1FCDF" w14:textId="77777777" w:rsidR="00036C40" w:rsidRPr="002C01A9" w:rsidRDefault="001A68E7">
            <w:pPr>
              <w:rPr>
                <w:rFonts w:ascii="Times New Roman" w:hAnsi="Times New Roman" w:cs="Times New Roman"/>
                <w:color w:val="000000" w:themeColor="text1"/>
                <w:sz w:val="24"/>
                <w:szCs w:val="24"/>
              </w:rPr>
            </w:pPr>
            <w:r w:rsidRPr="002C01A9">
              <w:rPr>
                <w:rFonts w:ascii="Times New Roman" w:hAnsi="Times New Roman" w:cs="Times New Roman"/>
                <w:b/>
                <w:bCs/>
                <w:color w:val="000000" w:themeColor="text1"/>
                <w:sz w:val="24"/>
                <w:szCs w:val="24"/>
              </w:rPr>
              <w:t>Case Name</w:t>
            </w:r>
          </w:p>
        </w:tc>
        <w:tc>
          <w:tcPr>
            <w:tcW w:w="6350" w:type="dxa"/>
            <w:tcMar>
              <w:top w:w="100" w:type="dxa"/>
              <w:left w:w="150" w:type="dxa"/>
              <w:bottom w:w="100" w:type="dxa"/>
              <w:right w:w="150" w:type="dxa"/>
            </w:tcMar>
            <w:vAlign w:val="center"/>
          </w:tcPr>
          <w:p w14:paraId="087ED799" w14:textId="77777777" w:rsidR="00036C40" w:rsidRPr="002C01A9" w:rsidRDefault="001A68E7">
            <w:pPr>
              <w:rPr>
                <w:rFonts w:ascii="Times New Roman" w:hAnsi="Times New Roman" w:cs="Times New Roman"/>
                <w:color w:val="000000" w:themeColor="text1"/>
                <w:sz w:val="24"/>
                <w:szCs w:val="24"/>
              </w:rPr>
            </w:pPr>
            <w:r w:rsidRPr="002C01A9">
              <w:rPr>
                <w:rFonts w:ascii="Times New Roman" w:hAnsi="Times New Roman" w:cs="Times New Roman"/>
                <w:color w:val="000000" w:themeColor="text1"/>
                <w:sz w:val="24"/>
                <w:szCs w:val="24"/>
              </w:rPr>
              <w:t>Carlill v. Carbolic Smoke Ball Company</w:t>
            </w:r>
          </w:p>
        </w:tc>
      </w:tr>
      <w:tr w:rsidR="002D40DF" w:rsidRPr="002C01A9" w14:paraId="62B03E08" w14:textId="77777777">
        <w:tc>
          <w:tcPr>
            <w:tcW w:w="3000" w:type="dxa"/>
            <w:shd w:val="clear" w:color="auto" w:fill="F2F2F2"/>
            <w:tcMar>
              <w:top w:w="100" w:type="dxa"/>
              <w:left w:w="150" w:type="dxa"/>
              <w:bottom w:w="100" w:type="dxa"/>
              <w:right w:w="150" w:type="dxa"/>
            </w:tcMar>
            <w:vAlign w:val="center"/>
          </w:tcPr>
          <w:p w14:paraId="7AFEB432" w14:textId="77777777" w:rsidR="00036C40" w:rsidRPr="002C01A9" w:rsidRDefault="001A68E7">
            <w:pPr>
              <w:rPr>
                <w:rFonts w:ascii="Times New Roman" w:hAnsi="Times New Roman" w:cs="Times New Roman"/>
                <w:color w:val="000000" w:themeColor="text1"/>
                <w:sz w:val="24"/>
                <w:szCs w:val="24"/>
              </w:rPr>
            </w:pPr>
            <w:r w:rsidRPr="002C01A9">
              <w:rPr>
                <w:rFonts w:ascii="Times New Roman" w:hAnsi="Times New Roman" w:cs="Times New Roman"/>
                <w:b/>
                <w:bCs/>
                <w:color w:val="000000" w:themeColor="text1"/>
                <w:sz w:val="24"/>
                <w:szCs w:val="24"/>
              </w:rPr>
              <w:t>Citation</w:t>
            </w:r>
          </w:p>
        </w:tc>
        <w:tc>
          <w:tcPr>
            <w:tcW w:w="6350" w:type="dxa"/>
            <w:tcMar>
              <w:top w:w="100" w:type="dxa"/>
              <w:left w:w="150" w:type="dxa"/>
              <w:bottom w:w="100" w:type="dxa"/>
              <w:right w:w="150" w:type="dxa"/>
            </w:tcMar>
            <w:vAlign w:val="center"/>
          </w:tcPr>
          <w:p w14:paraId="1853D21C" w14:textId="77777777" w:rsidR="00036C40" w:rsidRPr="002C01A9" w:rsidRDefault="001A68E7">
            <w:pPr>
              <w:rPr>
                <w:rFonts w:ascii="Times New Roman" w:hAnsi="Times New Roman" w:cs="Times New Roman"/>
                <w:color w:val="000000" w:themeColor="text1"/>
                <w:sz w:val="24"/>
                <w:szCs w:val="24"/>
              </w:rPr>
            </w:pPr>
            <w:r w:rsidRPr="002C01A9">
              <w:rPr>
                <w:rFonts w:ascii="Times New Roman" w:hAnsi="Times New Roman" w:cs="Times New Roman"/>
                <w:color w:val="000000" w:themeColor="text1"/>
                <w:sz w:val="24"/>
                <w:szCs w:val="24"/>
              </w:rPr>
              <w:t xml:space="preserve">(1892) EWCA </w:t>
            </w:r>
            <w:proofErr w:type="spellStart"/>
            <w:r w:rsidRPr="002C01A9">
              <w:rPr>
                <w:rFonts w:ascii="Times New Roman" w:hAnsi="Times New Roman" w:cs="Times New Roman"/>
                <w:color w:val="000000" w:themeColor="text1"/>
                <w:sz w:val="24"/>
                <w:szCs w:val="24"/>
              </w:rPr>
              <w:t>Civ</w:t>
            </w:r>
            <w:proofErr w:type="spellEnd"/>
            <w:r w:rsidRPr="002C01A9">
              <w:rPr>
                <w:rFonts w:ascii="Times New Roman" w:hAnsi="Times New Roman" w:cs="Times New Roman"/>
                <w:color w:val="000000" w:themeColor="text1"/>
                <w:sz w:val="24"/>
                <w:szCs w:val="24"/>
              </w:rPr>
              <w:t xml:space="preserve"> 1; (1893) 1 QB 256</w:t>
            </w:r>
          </w:p>
        </w:tc>
      </w:tr>
      <w:tr w:rsidR="002D40DF" w:rsidRPr="002C01A9" w14:paraId="6FE600C5" w14:textId="77777777">
        <w:tc>
          <w:tcPr>
            <w:tcW w:w="3000" w:type="dxa"/>
            <w:shd w:val="clear" w:color="auto" w:fill="F2F2F2"/>
            <w:tcMar>
              <w:top w:w="100" w:type="dxa"/>
              <w:left w:w="150" w:type="dxa"/>
              <w:bottom w:w="100" w:type="dxa"/>
              <w:right w:w="150" w:type="dxa"/>
            </w:tcMar>
            <w:vAlign w:val="center"/>
          </w:tcPr>
          <w:p w14:paraId="1E48AC26" w14:textId="77777777" w:rsidR="00036C40" w:rsidRPr="002C01A9" w:rsidRDefault="001A68E7">
            <w:pPr>
              <w:rPr>
                <w:rFonts w:ascii="Times New Roman" w:hAnsi="Times New Roman" w:cs="Times New Roman"/>
                <w:color w:val="000000" w:themeColor="text1"/>
                <w:sz w:val="24"/>
                <w:szCs w:val="24"/>
              </w:rPr>
            </w:pPr>
            <w:r w:rsidRPr="002C01A9">
              <w:rPr>
                <w:rFonts w:ascii="Times New Roman" w:hAnsi="Times New Roman" w:cs="Times New Roman"/>
                <w:b/>
                <w:bCs/>
                <w:color w:val="000000" w:themeColor="text1"/>
                <w:sz w:val="24"/>
                <w:szCs w:val="24"/>
              </w:rPr>
              <w:t>Court</w:t>
            </w:r>
          </w:p>
        </w:tc>
        <w:tc>
          <w:tcPr>
            <w:tcW w:w="6350" w:type="dxa"/>
            <w:tcMar>
              <w:top w:w="100" w:type="dxa"/>
              <w:left w:w="150" w:type="dxa"/>
              <w:bottom w:w="100" w:type="dxa"/>
              <w:right w:w="150" w:type="dxa"/>
            </w:tcMar>
            <w:vAlign w:val="center"/>
          </w:tcPr>
          <w:p w14:paraId="6500EF37" w14:textId="77777777" w:rsidR="00036C40" w:rsidRPr="002C01A9" w:rsidRDefault="001A68E7">
            <w:pPr>
              <w:rPr>
                <w:rFonts w:ascii="Times New Roman" w:hAnsi="Times New Roman" w:cs="Times New Roman"/>
                <w:color w:val="000000" w:themeColor="text1"/>
                <w:sz w:val="24"/>
                <w:szCs w:val="24"/>
              </w:rPr>
            </w:pPr>
            <w:r w:rsidRPr="002C01A9">
              <w:rPr>
                <w:rFonts w:ascii="Times New Roman" w:hAnsi="Times New Roman" w:cs="Times New Roman"/>
                <w:color w:val="000000" w:themeColor="text1"/>
                <w:sz w:val="24"/>
                <w:szCs w:val="24"/>
              </w:rPr>
              <w:t>Court of Appeal, England and Wales</w:t>
            </w:r>
          </w:p>
        </w:tc>
      </w:tr>
      <w:tr w:rsidR="002D40DF" w:rsidRPr="002C01A9" w14:paraId="4E8F8CFB" w14:textId="77777777">
        <w:tc>
          <w:tcPr>
            <w:tcW w:w="3000" w:type="dxa"/>
            <w:shd w:val="clear" w:color="auto" w:fill="F2F2F2"/>
            <w:tcMar>
              <w:top w:w="100" w:type="dxa"/>
              <w:left w:w="150" w:type="dxa"/>
              <w:bottom w:w="100" w:type="dxa"/>
              <w:right w:w="150" w:type="dxa"/>
            </w:tcMar>
            <w:vAlign w:val="center"/>
          </w:tcPr>
          <w:p w14:paraId="65B88611" w14:textId="77777777" w:rsidR="00036C40" w:rsidRPr="002C01A9" w:rsidRDefault="001A68E7">
            <w:pPr>
              <w:rPr>
                <w:rFonts w:ascii="Times New Roman" w:hAnsi="Times New Roman" w:cs="Times New Roman"/>
                <w:color w:val="000000" w:themeColor="text1"/>
                <w:sz w:val="24"/>
                <w:szCs w:val="24"/>
              </w:rPr>
            </w:pPr>
            <w:r w:rsidRPr="002C01A9">
              <w:rPr>
                <w:rFonts w:ascii="Times New Roman" w:hAnsi="Times New Roman" w:cs="Times New Roman"/>
                <w:b/>
                <w:bCs/>
                <w:color w:val="000000" w:themeColor="text1"/>
                <w:sz w:val="24"/>
                <w:szCs w:val="24"/>
              </w:rPr>
              <w:t>Bench</w:t>
            </w:r>
          </w:p>
        </w:tc>
        <w:tc>
          <w:tcPr>
            <w:tcW w:w="6350" w:type="dxa"/>
            <w:tcMar>
              <w:top w:w="100" w:type="dxa"/>
              <w:left w:w="150" w:type="dxa"/>
              <w:bottom w:w="100" w:type="dxa"/>
              <w:right w:w="150" w:type="dxa"/>
            </w:tcMar>
            <w:vAlign w:val="center"/>
          </w:tcPr>
          <w:p w14:paraId="72FC27CB" w14:textId="77777777" w:rsidR="00036C40" w:rsidRPr="002C01A9" w:rsidRDefault="001A68E7">
            <w:pPr>
              <w:rPr>
                <w:rFonts w:ascii="Times New Roman" w:hAnsi="Times New Roman" w:cs="Times New Roman"/>
                <w:color w:val="000000" w:themeColor="text1"/>
                <w:sz w:val="24"/>
                <w:szCs w:val="24"/>
              </w:rPr>
            </w:pPr>
            <w:r w:rsidRPr="002C01A9">
              <w:rPr>
                <w:rFonts w:ascii="Times New Roman" w:hAnsi="Times New Roman" w:cs="Times New Roman"/>
                <w:color w:val="000000" w:themeColor="text1"/>
                <w:sz w:val="24"/>
                <w:szCs w:val="24"/>
              </w:rPr>
              <w:t>Lord Justice Lindley, Lord Justice Bowen, Lord Justice A. L. Smith</w:t>
            </w:r>
          </w:p>
        </w:tc>
      </w:tr>
      <w:tr w:rsidR="002D40DF" w:rsidRPr="002C01A9" w14:paraId="01192F50" w14:textId="77777777">
        <w:tc>
          <w:tcPr>
            <w:tcW w:w="3000" w:type="dxa"/>
            <w:shd w:val="clear" w:color="auto" w:fill="F2F2F2"/>
            <w:tcMar>
              <w:top w:w="100" w:type="dxa"/>
              <w:left w:w="150" w:type="dxa"/>
              <w:bottom w:w="100" w:type="dxa"/>
              <w:right w:w="150" w:type="dxa"/>
            </w:tcMar>
            <w:vAlign w:val="center"/>
          </w:tcPr>
          <w:p w14:paraId="74206B4C" w14:textId="77777777" w:rsidR="00036C40" w:rsidRPr="002C01A9" w:rsidRDefault="001A68E7">
            <w:pPr>
              <w:rPr>
                <w:rFonts w:ascii="Times New Roman" w:hAnsi="Times New Roman" w:cs="Times New Roman"/>
                <w:color w:val="000000" w:themeColor="text1"/>
                <w:sz w:val="24"/>
                <w:szCs w:val="24"/>
              </w:rPr>
            </w:pPr>
            <w:r w:rsidRPr="002C01A9">
              <w:rPr>
                <w:rFonts w:ascii="Times New Roman" w:hAnsi="Times New Roman" w:cs="Times New Roman"/>
                <w:b/>
                <w:bCs/>
                <w:color w:val="000000" w:themeColor="text1"/>
                <w:sz w:val="24"/>
                <w:szCs w:val="24"/>
              </w:rPr>
              <w:t>Date of Judgment</w:t>
            </w:r>
          </w:p>
        </w:tc>
        <w:tc>
          <w:tcPr>
            <w:tcW w:w="6350" w:type="dxa"/>
            <w:tcMar>
              <w:top w:w="100" w:type="dxa"/>
              <w:left w:w="150" w:type="dxa"/>
              <w:bottom w:w="100" w:type="dxa"/>
              <w:right w:w="150" w:type="dxa"/>
            </w:tcMar>
            <w:vAlign w:val="center"/>
          </w:tcPr>
          <w:p w14:paraId="1AC134F4" w14:textId="77777777" w:rsidR="00036C40" w:rsidRPr="002C01A9" w:rsidRDefault="001A68E7">
            <w:pPr>
              <w:rPr>
                <w:rFonts w:ascii="Times New Roman" w:hAnsi="Times New Roman" w:cs="Times New Roman"/>
                <w:color w:val="000000" w:themeColor="text1"/>
                <w:sz w:val="24"/>
                <w:szCs w:val="24"/>
              </w:rPr>
            </w:pPr>
            <w:r w:rsidRPr="002C01A9">
              <w:rPr>
                <w:rFonts w:ascii="Times New Roman" w:hAnsi="Times New Roman" w:cs="Times New Roman"/>
                <w:color w:val="000000" w:themeColor="text1"/>
                <w:sz w:val="24"/>
                <w:szCs w:val="24"/>
              </w:rPr>
              <w:t>7–8 December, 1892</w:t>
            </w:r>
          </w:p>
        </w:tc>
      </w:tr>
      <w:tr w:rsidR="002D40DF" w:rsidRPr="002C01A9" w14:paraId="385A931E" w14:textId="77777777">
        <w:tc>
          <w:tcPr>
            <w:tcW w:w="3000" w:type="dxa"/>
            <w:shd w:val="clear" w:color="auto" w:fill="F2F2F2"/>
            <w:tcMar>
              <w:top w:w="100" w:type="dxa"/>
              <w:left w:w="150" w:type="dxa"/>
              <w:bottom w:w="100" w:type="dxa"/>
              <w:right w:w="150" w:type="dxa"/>
            </w:tcMar>
            <w:vAlign w:val="center"/>
          </w:tcPr>
          <w:p w14:paraId="3E38CC28" w14:textId="77777777" w:rsidR="00036C40" w:rsidRPr="002C01A9" w:rsidRDefault="001A68E7">
            <w:pPr>
              <w:rPr>
                <w:rFonts w:ascii="Times New Roman" w:hAnsi="Times New Roman" w:cs="Times New Roman"/>
                <w:color w:val="000000" w:themeColor="text1"/>
                <w:sz w:val="24"/>
                <w:szCs w:val="24"/>
              </w:rPr>
            </w:pPr>
            <w:r w:rsidRPr="002C01A9">
              <w:rPr>
                <w:rFonts w:ascii="Times New Roman" w:hAnsi="Times New Roman" w:cs="Times New Roman"/>
                <w:b/>
                <w:bCs/>
                <w:color w:val="000000" w:themeColor="text1"/>
                <w:sz w:val="24"/>
                <w:szCs w:val="24"/>
              </w:rPr>
              <w:t>Area of Law</w:t>
            </w:r>
          </w:p>
        </w:tc>
        <w:tc>
          <w:tcPr>
            <w:tcW w:w="6350" w:type="dxa"/>
            <w:tcMar>
              <w:top w:w="100" w:type="dxa"/>
              <w:left w:w="150" w:type="dxa"/>
              <w:bottom w:w="100" w:type="dxa"/>
              <w:right w:w="150" w:type="dxa"/>
            </w:tcMar>
            <w:vAlign w:val="center"/>
          </w:tcPr>
          <w:p w14:paraId="23FCE7EF" w14:textId="77777777" w:rsidR="00036C40" w:rsidRPr="002C01A9" w:rsidRDefault="001A68E7">
            <w:pPr>
              <w:rPr>
                <w:rFonts w:ascii="Times New Roman" w:hAnsi="Times New Roman" w:cs="Times New Roman"/>
                <w:color w:val="000000" w:themeColor="text1"/>
                <w:sz w:val="24"/>
                <w:szCs w:val="24"/>
              </w:rPr>
            </w:pPr>
            <w:r w:rsidRPr="002C01A9">
              <w:rPr>
                <w:rFonts w:ascii="Times New Roman" w:hAnsi="Times New Roman" w:cs="Times New Roman"/>
                <w:color w:val="000000" w:themeColor="text1"/>
                <w:sz w:val="24"/>
                <w:szCs w:val="24"/>
              </w:rPr>
              <w:t>Contract Law — Offer, Acceptance, Consideration, Unilateral Contracts</w:t>
            </w:r>
          </w:p>
        </w:tc>
      </w:tr>
    </w:tbl>
    <w:p w14:paraId="05CAB0D5" w14:textId="77777777" w:rsidR="00036C40" w:rsidRPr="002C01A9" w:rsidRDefault="00036C40">
      <w:pPr>
        <w:spacing w:after="200"/>
        <w:rPr>
          <w:rFonts w:ascii="Times New Roman" w:hAnsi="Times New Roman" w:cs="Times New Roman"/>
          <w:color w:val="000000" w:themeColor="text1"/>
          <w:sz w:val="24"/>
          <w:szCs w:val="24"/>
        </w:rPr>
      </w:pPr>
    </w:p>
    <w:p w14:paraId="4BEE8111" w14:textId="77777777" w:rsidR="00036C40" w:rsidRPr="002C01A9" w:rsidRDefault="27012859">
      <w:pPr>
        <w:pStyle w:val="Heading2"/>
        <w:spacing w:before="300" w:after="150"/>
        <w:rPr>
          <w:rFonts w:ascii="Times New Roman" w:hAnsi="Times New Roman" w:cs="Times New Roman"/>
          <w:color w:val="000000" w:themeColor="text1"/>
          <w:sz w:val="24"/>
          <w:szCs w:val="24"/>
        </w:rPr>
      </w:pPr>
      <w:bookmarkStart w:id="2" w:name="_Toc1058201468"/>
      <w:r w:rsidRPr="27012859">
        <w:rPr>
          <w:rFonts w:ascii="Times New Roman" w:hAnsi="Times New Roman" w:cs="Times New Roman"/>
          <w:b/>
          <w:bCs/>
          <w:color w:val="000000" w:themeColor="text1"/>
          <w:sz w:val="24"/>
          <w:szCs w:val="24"/>
        </w:rPr>
        <w:t>1.2 Brief Introduction to the Case</w:t>
      </w:r>
      <w:bookmarkEnd w:id="2"/>
    </w:p>
    <w:p w14:paraId="17DA5107" w14:textId="77777777" w:rsidR="00036C40" w:rsidRPr="002C01A9" w:rsidRDefault="001A68E7">
      <w:pPr>
        <w:spacing w:after="160" w:line="300" w:lineRule="auto"/>
        <w:jc w:val="both"/>
        <w:rPr>
          <w:rFonts w:ascii="Times New Roman" w:hAnsi="Times New Roman" w:cs="Times New Roman"/>
          <w:color w:val="000000" w:themeColor="text1"/>
          <w:sz w:val="24"/>
          <w:szCs w:val="24"/>
        </w:rPr>
      </w:pPr>
      <w:r w:rsidRPr="002C01A9">
        <w:rPr>
          <w:rFonts w:ascii="Times New Roman" w:hAnsi="Times New Roman" w:cs="Times New Roman"/>
          <w:color w:val="000000" w:themeColor="text1"/>
          <w:sz w:val="24"/>
          <w:szCs w:val="24"/>
        </w:rPr>
        <w:t>Carlill v. Carbolic Smoke Ball Company is one of the most well-known cases in the history of English contract law. It is usually one of the very first cases taught to law and commerce students because it explains, in a simple and memorable way, how an ordinary advertisement can turn into a legally binding promise. The case involves a company that made a bold promise in a newspaper advertisement, and a customer who took that promise at face value, followed the instructions exactly, and then tried to hold the company to its word.</w:t>
      </w:r>
    </w:p>
    <w:p w14:paraId="2D6349F1" w14:textId="77777777" w:rsidR="00036C40" w:rsidRPr="002C01A9" w:rsidRDefault="001A68E7">
      <w:pPr>
        <w:spacing w:after="160" w:line="300" w:lineRule="auto"/>
        <w:jc w:val="both"/>
        <w:rPr>
          <w:rFonts w:ascii="Times New Roman" w:hAnsi="Times New Roman" w:cs="Times New Roman"/>
          <w:color w:val="000000" w:themeColor="text1"/>
          <w:sz w:val="24"/>
          <w:szCs w:val="24"/>
        </w:rPr>
      </w:pPr>
      <w:r w:rsidRPr="002C01A9">
        <w:rPr>
          <w:rFonts w:ascii="Times New Roman" w:hAnsi="Times New Roman" w:cs="Times New Roman"/>
          <w:color w:val="000000" w:themeColor="text1"/>
          <w:sz w:val="24"/>
          <w:szCs w:val="24"/>
        </w:rPr>
        <w:t>The dispute was between Mrs. Louisa Carlill, an ordinary consumer, and the Carbolic Smoke Ball Company, a business that manufactured a device called the 'Carbolic Smoke Ball'. The company claimed that this device could prevent influenza and other cold-related illnesses if used correctly. To prove how confident it was in its own product, the company published an advertisement promising a reward of £100 to anyone who used the smoke ball as directed and still caught influenza. Mrs. Carlill did exactly this, fell ill anyway, and asked for the money. When the company refused to pay, she took the matter to court.</w:t>
      </w:r>
    </w:p>
    <w:p w14:paraId="55187891" w14:textId="77777777" w:rsidR="00036C40" w:rsidRDefault="001A68E7">
      <w:pPr>
        <w:spacing w:after="160" w:line="300" w:lineRule="auto"/>
        <w:jc w:val="both"/>
        <w:rPr>
          <w:rFonts w:ascii="Times New Roman" w:hAnsi="Times New Roman" w:cs="Times New Roman"/>
          <w:color w:val="000000" w:themeColor="text1"/>
          <w:sz w:val="24"/>
          <w:szCs w:val="24"/>
        </w:rPr>
      </w:pPr>
      <w:r w:rsidRPr="002C01A9">
        <w:rPr>
          <w:rFonts w:ascii="Times New Roman" w:hAnsi="Times New Roman" w:cs="Times New Roman"/>
          <w:color w:val="000000" w:themeColor="text1"/>
          <w:sz w:val="24"/>
          <w:szCs w:val="24"/>
        </w:rPr>
        <w:t>At its heart, the case answers a simple but important question: can a company be legally bound by promises made in an advertisement, or are such promises just marketing talk with no real legal weight? The Court of Appeal's answer, and the reasoning behind it, created a foundation stone for the law of contracts that is still relied upon today, more than a century later.</w:t>
      </w:r>
    </w:p>
    <w:p w14:paraId="08E37A19" w14:textId="77777777" w:rsidR="00587EFE" w:rsidRPr="002C01A9" w:rsidRDefault="00587EFE">
      <w:pPr>
        <w:spacing w:after="160" w:line="300" w:lineRule="auto"/>
        <w:jc w:val="both"/>
        <w:rPr>
          <w:rFonts w:ascii="Times New Roman" w:hAnsi="Times New Roman" w:cs="Times New Roman"/>
          <w:color w:val="000000" w:themeColor="text1"/>
          <w:sz w:val="24"/>
          <w:szCs w:val="24"/>
        </w:rPr>
      </w:pPr>
    </w:p>
    <w:p w14:paraId="26D64099" w14:textId="77777777" w:rsidR="00036C40" w:rsidRPr="002C01A9" w:rsidRDefault="27012859" w:rsidP="27012859">
      <w:pPr>
        <w:pStyle w:val="Heading1"/>
        <w:pBdr>
          <w:bottom w:val="single" w:sz="8" w:space="4" w:color="1F3864"/>
        </w:pBdr>
        <w:spacing w:before="400" w:after="200"/>
        <w:rPr>
          <w:rFonts w:ascii="Times New Roman" w:hAnsi="Times New Roman" w:cs="Times New Roman"/>
          <w:color w:val="000000" w:themeColor="text1"/>
          <w:sz w:val="24"/>
          <w:szCs w:val="24"/>
        </w:rPr>
      </w:pPr>
      <w:bookmarkStart w:id="3" w:name="_Toc1736611462"/>
      <w:r w:rsidRPr="27012859">
        <w:rPr>
          <w:rFonts w:ascii="Times New Roman" w:hAnsi="Times New Roman" w:cs="Times New Roman"/>
          <w:b/>
          <w:bCs/>
          <w:color w:val="000000" w:themeColor="text1"/>
          <w:sz w:val="24"/>
          <w:szCs w:val="24"/>
        </w:rPr>
        <w:t>2. Facts of the Case</w:t>
      </w:r>
      <w:bookmarkEnd w:id="3"/>
    </w:p>
    <w:p w14:paraId="0478F2F8" w14:textId="77777777" w:rsidR="00036C40" w:rsidRPr="002C01A9" w:rsidRDefault="27012859">
      <w:pPr>
        <w:pStyle w:val="Heading2"/>
        <w:spacing w:before="300" w:after="150"/>
        <w:rPr>
          <w:rFonts w:ascii="Times New Roman" w:hAnsi="Times New Roman" w:cs="Times New Roman"/>
          <w:color w:val="000000" w:themeColor="text1"/>
          <w:sz w:val="24"/>
          <w:szCs w:val="24"/>
        </w:rPr>
      </w:pPr>
      <w:bookmarkStart w:id="4" w:name="_Toc1299292196"/>
      <w:r w:rsidRPr="27012859">
        <w:rPr>
          <w:rFonts w:ascii="Times New Roman" w:hAnsi="Times New Roman" w:cs="Times New Roman"/>
          <w:b/>
          <w:bCs/>
          <w:color w:val="000000" w:themeColor="text1"/>
          <w:sz w:val="24"/>
          <w:szCs w:val="24"/>
        </w:rPr>
        <w:t>2.1 Chronological Summary of Events</w:t>
      </w:r>
      <w:bookmarkEnd w:id="4"/>
    </w:p>
    <w:p w14:paraId="2F0DCF37" w14:textId="77777777" w:rsidR="00036C40" w:rsidRPr="002C01A9" w:rsidRDefault="001A68E7">
      <w:pPr>
        <w:pStyle w:val="ListParagraph"/>
        <w:numPr>
          <w:ilvl w:val="0"/>
          <w:numId w:val="1"/>
        </w:numPr>
        <w:spacing w:after="100" w:line="300" w:lineRule="auto"/>
        <w:rPr>
          <w:rFonts w:ascii="Times New Roman" w:hAnsi="Times New Roman" w:cs="Times New Roman"/>
          <w:color w:val="000000" w:themeColor="text1"/>
          <w:sz w:val="24"/>
          <w:szCs w:val="24"/>
        </w:rPr>
      </w:pPr>
      <w:r w:rsidRPr="002C01A9">
        <w:rPr>
          <w:rFonts w:ascii="Times New Roman" w:hAnsi="Times New Roman" w:cs="Times New Roman"/>
          <w:color w:val="000000" w:themeColor="text1"/>
          <w:sz w:val="24"/>
          <w:szCs w:val="24"/>
        </w:rPr>
        <w:t>13 November 1891: The Carbolic Smoke Ball Company published an advertisement in the Pall Mall Gazette and other newspapers. It stated that the company would pay £100 to any person who caught influenza, a cold, or any disease caused by cold, after using the smoke ball three times a day for two weeks, exactly as per the printed instructions.</w:t>
      </w:r>
    </w:p>
    <w:p w14:paraId="3FD33085" w14:textId="77777777" w:rsidR="00036C40" w:rsidRPr="002C01A9" w:rsidRDefault="001A68E7">
      <w:pPr>
        <w:pStyle w:val="ListParagraph"/>
        <w:numPr>
          <w:ilvl w:val="0"/>
          <w:numId w:val="1"/>
        </w:numPr>
        <w:spacing w:after="100" w:line="300" w:lineRule="auto"/>
        <w:rPr>
          <w:rFonts w:ascii="Times New Roman" w:hAnsi="Times New Roman" w:cs="Times New Roman"/>
          <w:color w:val="000000" w:themeColor="text1"/>
          <w:sz w:val="24"/>
          <w:szCs w:val="24"/>
        </w:rPr>
      </w:pPr>
      <w:r w:rsidRPr="002C01A9">
        <w:rPr>
          <w:rFonts w:ascii="Times New Roman" w:hAnsi="Times New Roman" w:cs="Times New Roman"/>
          <w:color w:val="000000" w:themeColor="text1"/>
          <w:sz w:val="24"/>
          <w:szCs w:val="24"/>
        </w:rPr>
        <w:t>To show that this was a genuine promise and not an empty boast, the company announced that it had deposited £1,000 with the Alliance Bank on Regent Street, specifically to meet any claims that might arise from the advertisement.</w:t>
      </w:r>
    </w:p>
    <w:p w14:paraId="23F9395B" w14:textId="77777777" w:rsidR="00036C40" w:rsidRPr="002C01A9" w:rsidRDefault="001A68E7">
      <w:pPr>
        <w:pStyle w:val="ListParagraph"/>
        <w:numPr>
          <w:ilvl w:val="0"/>
          <w:numId w:val="1"/>
        </w:numPr>
        <w:spacing w:after="100" w:line="300" w:lineRule="auto"/>
        <w:rPr>
          <w:rFonts w:ascii="Times New Roman" w:hAnsi="Times New Roman" w:cs="Times New Roman"/>
          <w:color w:val="000000" w:themeColor="text1"/>
          <w:sz w:val="24"/>
          <w:szCs w:val="24"/>
        </w:rPr>
      </w:pPr>
      <w:r w:rsidRPr="002C01A9">
        <w:rPr>
          <w:rFonts w:ascii="Times New Roman" w:hAnsi="Times New Roman" w:cs="Times New Roman"/>
          <w:color w:val="000000" w:themeColor="text1"/>
          <w:sz w:val="24"/>
          <w:szCs w:val="24"/>
        </w:rPr>
        <w:t>Mrs. Carlill read the advertisement, believed its claims, and purchased a smoke ball from a chemist on the strength of it.</w:t>
      </w:r>
    </w:p>
    <w:p w14:paraId="2B1A2623" w14:textId="77777777" w:rsidR="00036C40" w:rsidRPr="002C01A9" w:rsidRDefault="001A68E7">
      <w:pPr>
        <w:pStyle w:val="ListParagraph"/>
        <w:numPr>
          <w:ilvl w:val="0"/>
          <w:numId w:val="1"/>
        </w:numPr>
        <w:spacing w:after="100" w:line="300" w:lineRule="auto"/>
        <w:rPr>
          <w:rFonts w:ascii="Times New Roman" w:hAnsi="Times New Roman" w:cs="Times New Roman"/>
          <w:color w:val="000000" w:themeColor="text1"/>
          <w:sz w:val="24"/>
          <w:szCs w:val="24"/>
        </w:rPr>
      </w:pPr>
      <w:r w:rsidRPr="002C01A9">
        <w:rPr>
          <w:rFonts w:ascii="Times New Roman" w:hAnsi="Times New Roman" w:cs="Times New Roman"/>
          <w:color w:val="000000" w:themeColor="text1"/>
          <w:sz w:val="24"/>
          <w:szCs w:val="24"/>
        </w:rPr>
        <w:t>From 20 November 1891 to 17 January 1892, she used the smoke ball three times daily, strictly following the printed directions.</w:t>
      </w:r>
    </w:p>
    <w:p w14:paraId="2535CA88" w14:textId="77777777" w:rsidR="00036C40" w:rsidRPr="002C01A9" w:rsidRDefault="001A68E7">
      <w:pPr>
        <w:pStyle w:val="ListParagraph"/>
        <w:numPr>
          <w:ilvl w:val="0"/>
          <w:numId w:val="1"/>
        </w:numPr>
        <w:spacing w:after="100" w:line="300" w:lineRule="auto"/>
        <w:rPr>
          <w:rFonts w:ascii="Times New Roman" w:hAnsi="Times New Roman" w:cs="Times New Roman"/>
          <w:color w:val="000000" w:themeColor="text1"/>
          <w:sz w:val="24"/>
          <w:szCs w:val="24"/>
        </w:rPr>
      </w:pPr>
      <w:r w:rsidRPr="002C01A9">
        <w:rPr>
          <w:rFonts w:ascii="Times New Roman" w:hAnsi="Times New Roman" w:cs="Times New Roman"/>
          <w:color w:val="000000" w:themeColor="text1"/>
          <w:sz w:val="24"/>
          <w:szCs w:val="24"/>
        </w:rPr>
        <w:t>Despite doing everything the advertisement asked of her, Mrs. Carlill caught influenza.</w:t>
      </w:r>
    </w:p>
    <w:p w14:paraId="1BA797A1" w14:textId="77777777" w:rsidR="00036C40" w:rsidRPr="002C01A9" w:rsidRDefault="001A68E7">
      <w:pPr>
        <w:pStyle w:val="ListParagraph"/>
        <w:numPr>
          <w:ilvl w:val="0"/>
          <w:numId w:val="1"/>
        </w:numPr>
        <w:spacing w:after="100" w:line="300" w:lineRule="auto"/>
        <w:rPr>
          <w:rFonts w:ascii="Times New Roman" w:hAnsi="Times New Roman" w:cs="Times New Roman"/>
          <w:color w:val="000000" w:themeColor="text1"/>
          <w:sz w:val="24"/>
          <w:szCs w:val="24"/>
        </w:rPr>
      </w:pPr>
      <w:r w:rsidRPr="002C01A9">
        <w:rPr>
          <w:rFonts w:ascii="Times New Roman" w:hAnsi="Times New Roman" w:cs="Times New Roman"/>
          <w:color w:val="000000" w:themeColor="text1"/>
          <w:sz w:val="24"/>
          <w:szCs w:val="24"/>
        </w:rPr>
        <w:t>Her husband, who was a solicitor, wrote to the company on her behalf, explaining what had happened and formally claiming the promised £100.</w:t>
      </w:r>
    </w:p>
    <w:p w14:paraId="0770B543" w14:textId="77777777" w:rsidR="00036C40" w:rsidRPr="002C01A9" w:rsidRDefault="001A68E7">
      <w:pPr>
        <w:pStyle w:val="ListParagraph"/>
        <w:numPr>
          <w:ilvl w:val="0"/>
          <w:numId w:val="1"/>
        </w:numPr>
        <w:spacing w:after="100" w:line="300" w:lineRule="auto"/>
        <w:rPr>
          <w:rFonts w:ascii="Times New Roman" w:hAnsi="Times New Roman" w:cs="Times New Roman"/>
          <w:color w:val="000000" w:themeColor="text1"/>
          <w:sz w:val="24"/>
          <w:szCs w:val="24"/>
        </w:rPr>
      </w:pPr>
      <w:r w:rsidRPr="002C01A9">
        <w:rPr>
          <w:rFonts w:ascii="Times New Roman" w:hAnsi="Times New Roman" w:cs="Times New Roman"/>
          <w:color w:val="000000" w:themeColor="text1"/>
          <w:sz w:val="24"/>
          <w:szCs w:val="24"/>
        </w:rPr>
        <w:t>The company wrote back refusing to pay. It suggested, among other things, that the advertisement should not be taken literally and that no real contract existed.</w:t>
      </w:r>
    </w:p>
    <w:p w14:paraId="09E6808B" w14:textId="77777777" w:rsidR="00036C40" w:rsidRPr="002C01A9" w:rsidRDefault="001A68E7">
      <w:pPr>
        <w:pStyle w:val="ListParagraph"/>
        <w:numPr>
          <w:ilvl w:val="0"/>
          <w:numId w:val="1"/>
        </w:numPr>
        <w:spacing w:after="100" w:line="300" w:lineRule="auto"/>
        <w:rPr>
          <w:rFonts w:ascii="Times New Roman" w:hAnsi="Times New Roman" w:cs="Times New Roman"/>
          <w:color w:val="000000" w:themeColor="text1"/>
          <w:sz w:val="24"/>
          <w:szCs w:val="24"/>
        </w:rPr>
      </w:pPr>
      <w:r w:rsidRPr="002C01A9">
        <w:rPr>
          <w:rFonts w:ascii="Times New Roman" w:hAnsi="Times New Roman" w:cs="Times New Roman"/>
          <w:color w:val="000000" w:themeColor="text1"/>
          <w:sz w:val="24"/>
          <w:szCs w:val="24"/>
        </w:rPr>
        <w:t>Mrs. Carlill sued the company. The trial court, presided over by Justice Hawkins, ruled in her favour.</w:t>
      </w:r>
    </w:p>
    <w:p w14:paraId="6ADE069F" w14:textId="77777777" w:rsidR="00036C40" w:rsidRPr="002C01A9" w:rsidRDefault="001A68E7">
      <w:pPr>
        <w:pStyle w:val="ListParagraph"/>
        <w:numPr>
          <w:ilvl w:val="0"/>
          <w:numId w:val="1"/>
        </w:numPr>
        <w:spacing w:after="100" w:line="300" w:lineRule="auto"/>
        <w:rPr>
          <w:rFonts w:ascii="Times New Roman" w:hAnsi="Times New Roman" w:cs="Times New Roman"/>
          <w:color w:val="000000" w:themeColor="text1"/>
          <w:sz w:val="24"/>
          <w:szCs w:val="24"/>
        </w:rPr>
      </w:pPr>
      <w:r w:rsidRPr="002C01A9">
        <w:rPr>
          <w:rFonts w:ascii="Times New Roman" w:hAnsi="Times New Roman" w:cs="Times New Roman"/>
          <w:color w:val="000000" w:themeColor="text1"/>
          <w:sz w:val="24"/>
          <w:szCs w:val="24"/>
        </w:rPr>
        <w:t>The Carbolic Smoke Ball Company appealed to the Court of Appeal, which delivered its judgment on 7–8 December 1892, unanimously dismissing the appeal and confirming that Mrs. Carlill was entitled to the £100.</w:t>
      </w:r>
    </w:p>
    <w:p w14:paraId="62B0EF74" w14:textId="77777777" w:rsidR="00036C40" w:rsidRPr="002C01A9" w:rsidRDefault="27012859">
      <w:pPr>
        <w:pStyle w:val="Heading2"/>
        <w:spacing w:before="300" w:after="150"/>
        <w:rPr>
          <w:rFonts w:ascii="Times New Roman" w:hAnsi="Times New Roman" w:cs="Times New Roman"/>
          <w:color w:val="000000" w:themeColor="text1"/>
          <w:sz w:val="24"/>
          <w:szCs w:val="24"/>
        </w:rPr>
      </w:pPr>
      <w:bookmarkStart w:id="5" w:name="_Toc1774946107"/>
      <w:r w:rsidRPr="27012859">
        <w:rPr>
          <w:rFonts w:ascii="Times New Roman" w:hAnsi="Times New Roman" w:cs="Times New Roman"/>
          <w:b/>
          <w:bCs/>
          <w:color w:val="000000" w:themeColor="text1"/>
          <w:sz w:val="24"/>
          <w:szCs w:val="24"/>
        </w:rPr>
        <w:t>2.2 Material Commercial Context</w:t>
      </w:r>
      <w:bookmarkEnd w:id="5"/>
    </w:p>
    <w:p w14:paraId="38DF3259" w14:textId="77777777" w:rsidR="00036C40" w:rsidRPr="002C01A9" w:rsidRDefault="001A68E7">
      <w:pPr>
        <w:spacing w:after="160" w:line="300" w:lineRule="auto"/>
        <w:jc w:val="both"/>
        <w:rPr>
          <w:rFonts w:ascii="Times New Roman" w:hAnsi="Times New Roman" w:cs="Times New Roman"/>
          <w:color w:val="000000" w:themeColor="text1"/>
          <w:sz w:val="24"/>
          <w:szCs w:val="24"/>
        </w:rPr>
      </w:pPr>
      <w:r w:rsidRPr="002C01A9">
        <w:rPr>
          <w:rFonts w:ascii="Times New Roman" w:hAnsi="Times New Roman" w:cs="Times New Roman"/>
          <w:color w:val="000000" w:themeColor="text1"/>
          <w:sz w:val="24"/>
          <w:szCs w:val="24"/>
        </w:rPr>
        <w:t>The transaction sits at the intersection of consumer goods advertising and product-performance guarantees. In late nineteenth-century England, influenza outbreaks had caused widespread public concern, and many companies sold remedies claiming to prevent or cure the illness. The Carbolic Smoke Ball Company was engaged in the business-to-consumer sale of a health device, and its advertisement was a promotional tool intended to boost sales by projecting confidence in the product's effectiveness.</w:t>
      </w:r>
    </w:p>
    <w:p w14:paraId="659B47D0" w14:textId="77777777" w:rsidR="00036C40" w:rsidRPr="002C01A9" w:rsidRDefault="001A68E7">
      <w:pPr>
        <w:spacing w:after="160" w:line="300" w:lineRule="auto"/>
        <w:jc w:val="both"/>
        <w:rPr>
          <w:rFonts w:ascii="Times New Roman" w:hAnsi="Times New Roman" w:cs="Times New Roman"/>
          <w:color w:val="000000" w:themeColor="text1"/>
          <w:sz w:val="24"/>
          <w:szCs w:val="24"/>
        </w:rPr>
      </w:pPr>
      <w:r w:rsidRPr="002C01A9">
        <w:rPr>
          <w:rFonts w:ascii="Times New Roman" w:hAnsi="Times New Roman" w:cs="Times New Roman"/>
          <w:color w:val="000000" w:themeColor="text1"/>
          <w:sz w:val="24"/>
          <w:szCs w:val="24"/>
        </w:rPr>
        <w:t>This was not a negotiated, signed agreement between two parties who discussed terms face to face. Instead, it was a mass-market advertisement directed at the general public, and any member of the public who came forward and satisfied the stated conditions could, in principle, claim the reward. This commercial context is important because it explains why the case became the leading authority on what lawyers call a 'unilateral contract' — a promise made to the world at large that becomes binding only towards those who actually perform the requested act.</w:t>
      </w:r>
    </w:p>
    <w:p w14:paraId="111EDB58" w14:textId="77777777" w:rsidR="00036C40" w:rsidRPr="002C01A9" w:rsidRDefault="27012859" w:rsidP="27012859">
      <w:pPr>
        <w:pStyle w:val="Heading1"/>
        <w:pBdr>
          <w:bottom w:val="single" w:sz="8" w:space="4" w:color="1F3864"/>
        </w:pBdr>
        <w:spacing w:before="400" w:after="200"/>
        <w:rPr>
          <w:rFonts w:ascii="Times New Roman" w:hAnsi="Times New Roman" w:cs="Times New Roman"/>
          <w:color w:val="000000" w:themeColor="text1"/>
          <w:sz w:val="24"/>
          <w:szCs w:val="24"/>
        </w:rPr>
      </w:pPr>
      <w:bookmarkStart w:id="6" w:name="_Toc1925985799"/>
      <w:r w:rsidRPr="27012859">
        <w:rPr>
          <w:rFonts w:ascii="Times New Roman" w:hAnsi="Times New Roman" w:cs="Times New Roman"/>
          <w:b/>
          <w:bCs/>
          <w:color w:val="000000" w:themeColor="text1"/>
          <w:sz w:val="24"/>
          <w:szCs w:val="24"/>
        </w:rPr>
        <w:t>3. Legal Issue</w:t>
      </w:r>
      <w:bookmarkEnd w:id="6"/>
    </w:p>
    <w:p w14:paraId="67D17E35" w14:textId="77777777" w:rsidR="00036C40" w:rsidRPr="002C01A9" w:rsidRDefault="27012859">
      <w:pPr>
        <w:pStyle w:val="Heading2"/>
        <w:spacing w:before="300" w:after="150"/>
        <w:rPr>
          <w:rFonts w:ascii="Times New Roman" w:hAnsi="Times New Roman" w:cs="Times New Roman"/>
          <w:color w:val="000000" w:themeColor="text1"/>
          <w:sz w:val="24"/>
          <w:szCs w:val="24"/>
        </w:rPr>
      </w:pPr>
      <w:bookmarkStart w:id="7" w:name="_Toc472822581"/>
      <w:r w:rsidRPr="27012859">
        <w:rPr>
          <w:rFonts w:ascii="Times New Roman" w:hAnsi="Times New Roman" w:cs="Times New Roman"/>
          <w:b/>
          <w:bCs/>
          <w:color w:val="000000" w:themeColor="text1"/>
          <w:sz w:val="24"/>
          <w:szCs w:val="24"/>
        </w:rPr>
        <w:t>3.1 Primary Question of Law</w:t>
      </w:r>
      <w:bookmarkEnd w:id="7"/>
    </w:p>
    <w:p w14:paraId="6AE39CC8" w14:textId="77777777" w:rsidR="00036C40" w:rsidRPr="002C01A9" w:rsidRDefault="001A68E7">
      <w:pPr>
        <w:spacing w:after="160" w:line="300" w:lineRule="auto"/>
        <w:jc w:val="both"/>
        <w:rPr>
          <w:rFonts w:ascii="Times New Roman" w:hAnsi="Times New Roman" w:cs="Times New Roman"/>
          <w:color w:val="000000" w:themeColor="text1"/>
          <w:sz w:val="24"/>
          <w:szCs w:val="24"/>
        </w:rPr>
      </w:pPr>
      <w:r w:rsidRPr="002C01A9">
        <w:rPr>
          <w:rFonts w:ascii="Times New Roman" w:hAnsi="Times New Roman" w:cs="Times New Roman"/>
          <w:color w:val="000000" w:themeColor="text1"/>
          <w:sz w:val="24"/>
          <w:szCs w:val="24"/>
        </w:rPr>
        <w:t>The central legal question before the Court of Appeal was: whether the advertisement published by the Carbolic Smoke Ball Company amounted to a genuine, legally binding offer capable of being accepted by any member of the public who performed its conditions, thereby creating an enforceable unilateral contract — or whether it was merely an exaggerated advertising statement (often called 'a mere puff') with no real intention to create legal obligations.</w:t>
      </w:r>
    </w:p>
    <w:p w14:paraId="39028337" w14:textId="77777777" w:rsidR="00036C40" w:rsidRPr="002C01A9" w:rsidRDefault="001A68E7">
      <w:pPr>
        <w:spacing w:after="160" w:line="300" w:lineRule="auto"/>
        <w:jc w:val="both"/>
        <w:rPr>
          <w:rFonts w:ascii="Times New Roman" w:hAnsi="Times New Roman" w:cs="Times New Roman"/>
          <w:color w:val="000000" w:themeColor="text1"/>
          <w:sz w:val="24"/>
          <w:szCs w:val="24"/>
        </w:rPr>
      </w:pPr>
      <w:r w:rsidRPr="002C01A9">
        <w:rPr>
          <w:rFonts w:ascii="Times New Roman" w:hAnsi="Times New Roman" w:cs="Times New Roman"/>
          <w:color w:val="000000" w:themeColor="text1"/>
          <w:sz w:val="24"/>
          <w:szCs w:val="24"/>
        </w:rPr>
        <w:t>Within this broad question, the court also had to consider three connected sub-issues, namely: whether the advertisement was too vague to count as an offer; whether Mrs. Carlill needed to formally notify the company that she accepted the offer before starting to use the product; and whether she had provided anything of value (consideration) in return for the company's promise.</w:t>
      </w:r>
    </w:p>
    <w:p w14:paraId="3070B7D0" w14:textId="77777777" w:rsidR="00036C40" w:rsidRPr="002C01A9" w:rsidRDefault="27012859">
      <w:pPr>
        <w:pStyle w:val="Heading2"/>
        <w:spacing w:before="300" w:after="150"/>
        <w:rPr>
          <w:rFonts w:ascii="Times New Roman" w:hAnsi="Times New Roman" w:cs="Times New Roman"/>
          <w:color w:val="000000" w:themeColor="text1"/>
          <w:sz w:val="24"/>
          <w:szCs w:val="24"/>
        </w:rPr>
      </w:pPr>
      <w:bookmarkStart w:id="8" w:name="_Toc1005798594"/>
      <w:r w:rsidRPr="27012859">
        <w:rPr>
          <w:rFonts w:ascii="Times New Roman" w:hAnsi="Times New Roman" w:cs="Times New Roman"/>
          <w:b/>
          <w:bCs/>
          <w:color w:val="000000" w:themeColor="text1"/>
          <w:sz w:val="24"/>
          <w:szCs w:val="24"/>
        </w:rPr>
        <w:t>3.2 Points of Contention</w:t>
      </w:r>
      <w:bookmarkEnd w:id="8"/>
    </w:p>
    <w:p w14:paraId="6F487070" w14:textId="77777777" w:rsidR="00036C40" w:rsidRPr="002C01A9" w:rsidRDefault="001A68E7">
      <w:pPr>
        <w:spacing w:after="160" w:line="300" w:lineRule="auto"/>
        <w:jc w:val="both"/>
        <w:rPr>
          <w:rFonts w:ascii="Times New Roman" w:hAnsi="Times New Roman" w:cs="Times New Roman"/>
          <w:color w:val="000000" w:themeColor="text1"/>
          <w:sz w:val="24"/>
          <w:szCs w:val="24"/>
        </w:rPr>
      </w:pPr>
      <w:r w:rsidRPr="002C01A9">
        <w:rPr>
          <w:rFonts w:ascii="Times New Roman" w:hAnsi="Times New Roman" w:cs="Times New Roman"/>
          <w:color w:val="000000" w:themeColor="text1"/>
          <w:sz w:val="24"/>
          <w:szCs w:val="24"/>
        </w:rPr>
        <w:t>Arguments on behalf of Mrs. Carlill (the plaintiff): It was argued that the advertisement was written in clear and definite language, promising a specific sum of money on the occurrence of a specific event. The deposit of £1,000 with the Alliance Bank was strong evidence that the company was serious about its promise and intended to be bound by it. It was also argued that by purchasing the smoke ball and using it exactly as instructed, Mrs. Carlill had done everything the advertisement asked of her, and this performance itself amounted to acceptance of the offer. Buying and using the product, at her own inconvenience, was said to be sufficient consideration to support the promise.</w:t>
      </w:r>
    </w:p>
    <w:p w14:paraId="490E7CA3" w14:textId="77777777" w:rsidR="00036C40" w:rsidRDefault="001A68E7">
      <w:pPr>
        <w:spacing w:after="160" w:line="300" w:lineRule="auto"/>
        <w:jc w:val="both"/>
        <w:rPr>
          <w:rFonts w:ascii="Times New Roman" w:hAnsi="Times New Roman" w:cs="Times New Roman"/>
          <w:color w:val="000000" w:themeColor="text1"/>
          <w:sz w:val="24"/>
          <w:szCs w:val="24"/>
        </w:rPr>
      </w:pPr>
      <w:r w:rsidRPr="002C01A9">
        <w:rPr>
          <w:rFonts w:ascii="Times New Roman" w:hAnsi="Times New Roman" w:cs="Times New Roman"/>
          <w:color w:val="000000" w:themeColor="text1"/>
          <w:sz w:val="24"/>
          <w:szCs w:val="24"/>
        </w:rPr>
        <w:t>Arguments on behalf of the Carbolic Smoke Ball Company (the defendant): The company argued that the advertisement was too vague to be treated as a serious contractual offer, since it did not fix any time limit within which a person had to catch influenza, nor did it provide any way to verify whether a person had really used the smoke ball correctly. It was also argued that a contract requires acceptance to be communicated to the offeror, and Mrs. Carlill never informed the company that she was accepting its offer before she started using the product. Finally, the company contended that the advertisement was simply a marketing gimmick, a form of exaggerated sales talk, and was never meant to create a legal obligation.</w:t>
      </w:r>
    </w:p>
    <w:p w14:paraId="350A3FB2" w14:textId="77777777" w:rsidR="00587EFE" w:rsidRPr="002C01A9" w:rsidRDefault="00587EFE">
      <w:pPr>
        <w:spacing w:after="160" w:line="300" w:lineRule="auto"/>
        <w:jc w:val="both"/>
        <w:rPr>
          <w:rFonts w:ascii="Times New Roman" w:hAnsi="Times New Roman" w:cs="Times New Roman"/>
          <w:color w:val="000000" w:themeColor="text1"/>
          <w:sz w:val="24"/>
          <w:szCs w:val="24"/>
        </w:rPr>
      </w:pPr>
    </w:p>
    <w:p w14:paraId="4BD04E1C" w14:textId="77777777" w:rsidR="00036C40" w:rsidRPr="002C01A9" w:rsidRDefault="27012859" w:rsidP="27012859">
      <w:pPr>
        <w:pStyle w:val="Heading1"/>
        <w:pBdr>
          <w:bottom w:val="single" w:sz="8" w:space="4" w:color="1F3864"/>
        </w:pBdr>
        <w:spacing w:before="400" w:after="200"/>
        <w:rPr>
          <w:rFonts w:ascii="Times New Roman" w:hAnsi="Times New Roman" w:cs="Times New Roman"/>
          <w:color w:val="000000" w:themeColor="text1"/>
          <w:sz w:val="24"/>
          <w:szCs w:val="24"/>
        </w:rPr>
      </w:pPr>
      <w:bookmarkStart w:id="9" w:name="_Toc1904657510"/>
      <w:r w:rsidRPr="27012859">
        <w:rPr>
          <w:rFonts w:ascii="Times New Roman" w:hAnsi="Times New Roman" w:cs="Times New Roman"/>
          <w:b/>
          <w:bCs/>
          <w:color w:val="000000" w:themeColor="text1"/>
          <w:sz w:val="24"/>
          <w:szCs w:val="24"/>
        </w:rPr>
        <w:t>4. Judgment</w:t>
      </w:r>
      <w:bookmarkEnd w:id="9"/>
    </w:p>
    <w:p w14:paraId="11515A4C" w14:textId="77777777" w:rsidR="00036C40" w:rsidRPr="002C01A9" w:rsidRDefault="27012859">
      <w:pPr>
        <w:pStyle w:val="Heading2"/>
        <w:spacing w:before="300" w:after="150"/>
        <w:rPr>
          <w:rFonts w:ascii="Times New Roman" w:hAnsi="Times New Roman" w:cs="Times New Roman"/>
          <w:color w:val="000000" w:themeColor="text1"/>
          <w:sz w:val="24"/>
          <w:szCs w:val="24"/>
        </w:rPr>
      </w:pPr>
      <w:bookmarkStart w:id="10" w:name="_Toc1021667166"/>
      <w:r w:rsidRPr="27012859">
        <w:rPr>
          <w:rFonts w:ascii="Times New Roman" w:hAnsi="Times New Roman" w:cs="Times New Roman"/>
          <w:b/>
          <w:bCs/>
          <w:color w:val="000000" w:themeColor="text1"/>
          <w:sz w:val="24"/>
          <w:szCs w:val="24"/>
        </w:rPr>
        <w:t>4.1 Court's Decision</w:t>
      </w:r>
      <w:bookmarkEnd w:id="10"/>
    </w:p>
    <w:p w14:paraId="7901CC14" w14:textId="77777777" w:rsidR="00036C40" w:rsidRDefault="001A68E7">
      <w:pPr>
        <w:spacing w:after="160" w:line="300" w:lineRule="auto"/>
        <w:jc w:val="both"/>
        <w:rPr>
          <w:rFonts w:ascii="Times New Roman" w:hAnsi="Times New Roman" w:cs="Times New Roman"/>
          <w:color w:val="000000" w:themeColor="text1"/>
          <w:sz w:val="24"/>
          <w:szCs w:val="24"/>
        </w:rPr>
      </w:pPr>
      <w:r w:rsidRPr="002C01A9">
        <w:rPr>
          <w:rFonts w:ascii="Times New Roman" w:hAnsi="Times New Roman" w:cs="Times New Roman"/>
          <w:color w:val="000000" w:themeColor="text1"/>
          <w:sz w:val="24"/>
          <w:szCs w:val="24"/>
        </w:rPr>
        <w:t>The Court of Appeal unanimously dismissed the company's appeal. All three judges — Lord Justice Lindley, Lord Justice Bowen, and Lord Justice A. L. Smith — agreed that a valid and binding contract had been formed between Mrs. Carlill and the Carbolic Smoke Ball Company, and that she was entitled to recover the promised £100.</w:t>
      </w:r>
    </w:p>
    <w:p w14:paraId="2FA9B912" w14:textId="77777777" w:rsidR="00097193" w:rsidRDefault="00097193">
      <w:pPr>
        <w:spacing w:after="160" w:line="300" w:lineRule="auto"/>
        <w:jc w:val="both"/>
        <w:rPr>
          <w:rFonts w:ascii="Times New Roman" w:hAnsi="Times New Roman" w:cs="Times New Roman"/>
          <w:color w:val="000000" w:themeColor="text1"/>
          <w:sz w:val="24"/>
          <w:szCs w:val="24"/>
        </w:rPr>
      </w:pPr>
    </w:p>
    <w:p w14:paraId="7EF05CF3" w14:textId="77777777" w:rsidR="00097193" w:rsidRDefault="00097193">
      <w:pPr>
        <w:spacing w:after="160" w:line="300" w:lineRule="auto"/>
        <w:jc w:val="both"/>
        <w:rPr>
          <w:rFonts w:ascii="Times New Roman" w:hAnsi="Times New Roman" w:cs="Times New Roman"/>
          <w:color w:val="000000" w:themeColor="text1"/>
          <w:sz w:val="24"/>
          <w:szCs w:val="24"/>
        </w:rPr>
      </w:pPr>
    </w:p>
    <w:p w14:paraId="157892BD" w14:textId="77777777" w:rsidR="00097193" w:rsidRDefault="00097193">
      <w:pPr>
        <w:spacing w:after="160" w:line="300" w:lineRule="auto"/>
        <w:jc w:val="both"/>
        <w:rPr>
          <w:rFonts w:ascii="Times New Roman" w:hAnsi="Times New Roman" w:cs="Times New Roman"/>
          <w:color w:val="000000" w:themeColor="text1"/>
          <w:sz w:val="24"/>
          <w:szCs w:val="24"/>
        </w:rPr>
      </w:pPr>
    </w:p>
    <w:p w14:paraId="60A1DA3C" w14:textId="77777777" w:rsidR="00097193" w:rsidRDefault="00097193">
      <w:pPr>
        <w:spacing w:after="160" w:line="300" w:lineRule="auto"/>
        <w:jc w:val="both"/>
        <w:rPr>
          <w:rFonts w:ascii="Times New Roman" w:hAnsi="Times New Roman" w:cs="Times New Roman"/>
          <w:color w:val="000000" w:themeColor="text1"/>
          <w:sz w:val="24"/>
          <w:szCs w:val="24"/>
        </w:rPr>
      </w:pPr>
    </w:p>
    <w:p w14:paraId="34BC501A" w14:textId="77777777" w:rsidR="00097193" w:rsidRPr="002C01A9" w:rsidRDefault="00097193">
      <w:pPr>
        <w:spacing w:after="160" w:line="300" w:lineRule="auto"/>
        <w:jc w:val="both"/>
        <w:rPr>
          <w:rFonts w:ascii="Times New Roman" w:hAnsi="Times New Roman" w:cs="Times New Roman"/>
          <w:color w:val="000000" w:themeColor="text1"/>
          <w:sz w:val="24"/>
          <w:szCs w:val="24"/>
        </w:rPr>
      </w:pPr>
    </w:p>
    <w:p w14:paraId="54FF1D7D" w14:textId="77777777" w:rsidR="00036C40" w:rsidRPr="002C01A9" w:rsidRDefault="27012859">
      <w:pPr>
        <w:pStyle w:val="Heading2"/>
        <w:spacing w:before="300" w:after="150"/>
        <w:rPr>
          <w:rFonts w:ascii="Times New Roman" w:hAnsi="Times New Roman" w:cs="Times New Roman"/>
          <w:color w:val="000000" w:themeColor="text1"/>
          <w:sz w:val="24"/>
          <w:szCs w:val="24"/>
        </w:rPr>
      </w:pPr>
      <w:bookmarkStart w:id="11" w:name="_Toc2006728886"/>
      <w:r w:rsidRPr="27012859">
        <w:rPr>
          <w:rFonts w:ascii="Times New Roman" w:hAnsi="Times New Roman" w:cs="Times New Roman"/>
          <w:b/>
          <w:bCs/>
          <w:color w:val="000000" w:themeColor="text1"/>
          <w:sz w:val="24"/>
          <w:szCs w:val="24"/>
        </w:rPr>
        <w:t>4.2 Ratio Decidendi (Judicial Reasoning)</w:t>
      </w:r>
      <w:bookmarkEnd w:id="11"/>
    </w:p>
    <w:p w14:paraId="5A1B38EC" w14:textId="77777777" w:rsidR="00036C40" w:rsidRPr="002C01A9" w:rsidRDefault="001A68E7">
      <w:pPr>
        <w:spacing w:after="160" w:line="300" w:lineRule="auto"/>
        <w:jc w:val="both"/>
        <w:rPr>
          <w:rFonts w:ascii="Times New Roman" w:hAnsi="Times New Roman" w:cs="Times New Roman"/>
          <w:color w:val="000000" w:themeColor="text1"/>
          <w:sz w:val="24"/>
          <w:szCs w:val="24"/>
        </w:rPr>
      </w:pPr>
      <w:r w:rsidRPr="002C01A9">
        <w:rPr>
          <w:rFonts w:ascii="Times New Roman" w:hAnsi="Times New Roman" w:cs="Times New Roman"/>
          <w:color w:val="000000" w:themeColor="text1"/>
          <w:sz w:val="24"/>
          <w:szCs w:val="24"/>
        </w:rPr>
        <w:t>The reasoning of the court can be broken down into a few clear ideas that, together, form the ratio decidendi of the case.</w:t>
      </w:r>
    </w:p>
    <w:p w14:paraId="6163A0E1" w14:textId="77777777" w:rsidR="00036C40" w:rsidRPr="002C01A9" w:rsidRDefault="001A68E7">
      <w:pPr>
        <w:spacing w:after="160" w:line="300" w:lineRule="auto"/>
        <w:jc w:val="both"/>
        <w:rPr>
          <w:rFonts w:ascii="Times New Roman" w:hAnsi="Times New Roman" w:cs="Times New Roman"/>
          <w:color w:val="000000" w:themeColor="text1"/>
          <w:sz w:val="24"/>
          <w:szCs w:val="24"/>
        </w:rPr>
      </w:pPr>
      <w:r w:rsidRPr="002C01A9">
        <w:rPr>
          <w:rFonts w:ascii="Times New Roman" w:hAnsi="Times New Roman" w:cs="Times New Roman"/>
          <w:color w:val="000000" w:themeColor="text1"/>
          <w:sz w:val="24"/>
          <w:szCs w:val="24"/>
        </w:rPr>
        <w:t>First, on the question of vagueness, the judges held that the advertisement was not too vague to be an offer. Read as an ordinary person would read it, the advertisement clearly promised a payment of £100 if a person used the smoke ball as directed and still caught influenza. The fact that the company had deposited £1,000 with a named bank was treated as powerful evidence that this was a sincere promise and not empty sales talk. As the advertisement itself put it, the reward was payable to anyone who contracted influenza after using the ball as directed.</w:t>
      </w:r>
    </w:p>
    <w:p w14:paraId="461FCE33" w14:textId="77777777" w:rsidR="00036C40" w:rsidRPr="002C01A9" w:rsidRDefault="001A68E7">
      <w:pPr>
        <w:spacing w:after="160" w:line="300" w:lineRule="auto"/>
        <w:jc w:val="both"/>
        <w:rPr>
          <w:rFonts w:ascii="Times New Roman" w:hAnsi="Times New Roman" w:cs="Times New Roman"/>
          <w:color w:val="000000" w:themeColor="text1"/>
          <w:sz w:val="24"/>
          <w:szCs w:val="24"/>
        </w:rPr>
      </w:pPr>
      <w:r w:rsidRPr="002C01A9">
        <w:rPr>
          <w:rFonts w:ascii="Times New Roman" w:hAnsi="Times New Roman" w:cs="Times New Roman"/>
          <w:color w:val="000000" w:themeColor="text1"/>
          <w:sz w:val="24"/>
          <w:szCs w:val="24"/>
        </w:rPr>
        <w:t>Second, on the question of an offer being made to the whole world, the court explained that although an offer can indeed be addressed to the general public rather than to one named individual, this does not make the offer void for uncertainty. A binding contract only comes into existence with those specific members of the public who step forward and actually perform the stated conditions. Lord Justice Bowen's observation on this point became the single most quoted line from the case: an offer to the whole world becomes a promise to pay only when it is met by the limited set of people who come forward and fulfil the conditions attached to it.</w:t>
      </w:r>
    </w:p>
    <w:p w14:paraId="4D365B09" w14:textId="77777777" w:rsidR="00036C40" w:rsidRPr="002C01A9" w:rsidRDefault="001A68E7">
      <w:pPr>
        <w:spacing w:after="160" w:line="300" w:lineRule="auto"/>
        <w:jc w:val="both"/>
        <w:rPr>
          <w:rFonts w:ascii="Times New Roman" w:hAnsi="Times New Roman" w:cs="Times New Roman"/>
          <w:color w:val="000000" w:themeColor="text1"/>
          <w:sz w:val="24"/>
          <w:szCs w:val="24"/>
        </w:rPr>
      </w:pPr>
      <w:r w:rsidRPr="002C01A9">
        <w:rPr>
          <w:rFonts w:ascii="Times New Roman" w:hAnsi="Times New Roman" w:cs="Times New Roman"/>
          <w:color w:val="000000" w:themeColor="text1"/>
          <w:sz w:val="24"/>
          <w:szCs w:val="24"/>
        </w:rPr>
        <w:t>Third, on the question of communication of acceptance, the court held that the ordinary rule requiring an offeree to notify the offeror of acceptance before a contract is formed does not apply rigidly to every kind of offer. Where an offer, by its very nature, invites performance of an act rather than a reply in words, the offeror can be understood to have waived the need for prior notice. Performing the requested act is, in itself, both the acceptance and the notification. Since the company had asked people simply to use the smoke ball as directed, rather than to write back confirming they intended to do so, Mrs. Carlill's conduct in buying and using the product was enough to accept the offer.</w:t>
      </w:r>
    </w:p>
    <w:p w14:paraId="394F4050" w14:textId="77777777" w:rsidR="00036C40" w:rsidRPr="002C01A9" w:rsidRDefault="001A68E7">
      <w:pPr>
        <w:spacing w:after="160" w:line="300" w:lineRule="auto"/>
        <w:jc w:val="both"/>
        <w:rPr>
          <w:rFonts w:ascii="Times New Roman" w:hAnsi="Times New Roman" w:cs="Times New Roman"/>
          <w:color w:val="000000" w:themeColor="text1"/>
          <w:sz w:val="24"/>
          <w:szCs w:val="24"/>
        </w:rPr>
      </w:pPr>
      <w:r w:rsidRPr="002C01A9">
        <w:rPr>
          <w:rFonts w:ascii="Times New Roman" w:hAnsi="Times New Roman" w:cs="Times New Roman"/>
          <w:color w:val="000000" w:themeColor="text1"/>
          <w:sz w:val="24"/>
          <w:szCs w:val="24"/>
        </w:rPr>
        <w:t>Fourth, on the question of consideration, the court found that Mrs. Carlill had provided real consideration in two ways. She suffered the inconvenience and trouble of using the smoke ball three times a day for two weeks exactly as instructed, and the company, in turn, gained a commercial benefit because such advertisements were designed to increase the sale of its product. This exchange of value was enough to satisfy the requirement that a valid contract must be supported by consideration.</w:t>
      </w:r>
    </w:p>
    <w:p w14:paraId="306300F3" w14:textId="77777777" w:rsidR="00036C40" w:rsidRDefault="001A68E7">
      <w:pPr>
        <w:spacing w:after="160" w:line="300" w:lineRule="auto"/>
        <w:jc w:val="both"/>
        <w:rPr>
          <w:rFonts w:ascii="Times New Roman" w:hAnsi="Times New Roman" w:cs="Times New Roman"/>
          <w:color w:val="000000" w:themeColor="text1"/>
          <w:sz w:val="24"/>
          <w:szCs w:val="24"/>
        </w:rPr>
      </w:pPr>
      <w:r w:rsidRPr="002C01A9">
        <w:rPr>
          <w:rFonts w:ascii="Times New Roman" w:hAnsi="Times New Roman" w:cs="Times New Roman"/>
          <w:color w:val="000000" w:themeColor="text1"/>
          <w:sz w:val="24"/>
          <w:szCs w:val="24"/>
        </w:rPr>
        <w:t>Taken together, these four strands of reasoning led the court to conclude that the advertisement was a genuine offer of a unilateral contract, that Mrs. Carlill had validly accepted it through her conduct, that she had provided sufficient consideration, and that the company was therefore legally bound to pay her the £100 it had promised.</w:t>
      </w:r>
    </w:p>
    <w:p w14:paraId="6128337B" w14:textId="77777777" w:rsidR="00036C40" w:rsidRPr="002C01A9" w:rsidRDefault="27012859" w:rsidP="27012859">
      <w:pPr>
        <w:pStyle w:val="Heading1"/>
        <w:pBdr>
          <w:bottom w:val="single" w:sz="8" w:space="4" w:color="1F3864"/>
        </w:pBdr>
        <w:spacing w:before="400" w:after="200"/>
        <w:rPr>
          <w:rFonts w:ascii="Times New Roman" w:hAnsi="Times New Roman" w:cs="Times New Roman"/>
          <w:color w:val="000000" w:themeColor="text1"/>
          <w:sz w:val="24"/>
          <w:szCs w:val="24"/>
        </w:rPr>
      </w:pPr>
      <w:bookmarkStart w:id="12" w:name="_Toc177048799"/>
      <w:r w:rsidRPr="27012859">
        <w:rPr>
          <w:rFonts w:ascii="Times New Roman" w:hAnsi="Times New Roman" w:cs="Times New Roman"/>
          <w:b/>
          <w:bCs/>
          <w:color w:val="000000" w:themeColor="text1"/>
          <w:sz w:val="24"/>
          <w:szCs w:val="24"/>
        </w:rPr>
        <w:t>5. Legal Principle: Contract Formation Analysis</w:t>
      </w:r>
      <w:bookmarkEnd w:id="12"/>
    </w:p>
    <w:p w14:paraId="5E4BE147" w14:textId="77777777" w:rsidR="00036C40" w:rsidRPr="002C01A9" w:rsidRDefault="27012859">
      <w:pPr>
        <w:pStyle w:val="Heading2"/>
        <w:spacing w:before="300" w:after="150"/>
        <w:rPr>
          <w:rFonts w:ascii="Times New Roman" w:hAnsi="Times New Roman" w:cs="Times New Roman"/>
          <w:color w:val="000000" w:themeColor="text1"/>
          <w:sz w:val="24"/>
          <w:szCs w:val="24"/>
        </w:rPr>
      </w:pPr>
      <w:bookmarkStart w:id="13" w:name="_Toc1119223687"/>
      <w:r w:rsidRPr="27012859">
        <w:rPr>
          <w:rFonts w:ascii="Times New Roman" w:hAnsi="Times New Roman" w:cs="Times New Roman"/>
          <w:b/>
          <w:bCs/>
          <w:color w:val="000000" w:themeColor="text1"/>
          <w:sz w:val="24"/>
          <w:szCs w:val="24"/>
        </w:rPr>
        <w:t>5.1 Evaluation of a Valid Offer</w:t>
      </w:r>
      <w:bookmarkEnd w:id="13"/>
    </w:p>
    <w:p w14:paraId="200E5AB4" w14:textId="77777777" w:rsidR="00036C40" w:rsidRPr="002C01A9" w:rsidRDefault="001A68E7">
      <w:pPr>
        <w:spacing w:after="160" w:line="300" w:lineRule="auto"/>
        <w:jc w:val="both"/>
        <w:rPr>
          <w:rFonts w:ascii="Times New Roman" w:hAnsi="Times New Roman" w:cs="Times New Roman"/>
          <w:color w:val="000000" w:themeColor="text1"/>
          <w:sz w:val="24"/>
          <w:szCs w:val="24"/>
        </w:rPr>
      </w:pPr>
      <w:r w:rsidRPr="002C01A9">
        <w:rPr>
          <w:rFonts w:ascii="Times New Roman" w:hAnsi="Times New Roman" w:cs="Times New Roman"/>
          <w:color w:val="000000" w:themeColor="text1"/>
          <w:sz w:val="24"/>
          <w:szCs w:val="24"/>
        </w:rPr>
        <w:t>A key theme running through this case is the difference between a true offer and a mere 'invitation to treat' or a preliminary sales statement. An invitation to treat, such as goods displayed in a shop window or a price list sent in response to an enquiry, only invites others to make an offer; it is not itself capable of being accepted so as to form a contract. The company in this case argued that its advertisement was of this preliminary, non-binding kind — essentially advertising puffery designed to attract customers rather than a real promise.</w:t>
      </w:r>
    </w:p>
    <w:p w14:paraId="61BA732C" w14:textId="77777777" w:rsidR="00036C40" w:rsidRDefault="001A68E7">
      <w:pPr>
        <w:spacing w:after="160" w:line="300" w:lineRule="auto"/>
        <w:jc w:val="both"/>
        <w:rPr>
          <w:rFonts w:ascii="Times New Roman" w:hAnsi="Times New Roman" w:cs="Times New Roman"/>
          <w:color w:val="000000" w:themeColor="text1"/>
          <w:sz w:val="24"/>
          <w:szCs w:val="24"/>
        </w:rPr>
      </w:pPr>
      <w:r w:rsidRPr="002C01A9">
        <w:rPr>
          <w:rFonts w:ascii="Times New Roman" w:hAnsi="Times New Roman" w:cs="Times New Roman"/>
          <w:color w:val="000000" w:themeColor="text1"/>
          <w:sz w:val="24"/>
          <w:szCs w:val="24"/>
        </w:rPr>
        <w:t>The court rejected this argument. It distinguished the advertisement from ordinary advertising boasts on the strength of two features: the language of the advertisement was specific and promissory rather than vague, and the company had backed up its words with the concrete step of depositing £1,000 with a bank to meet claims. These features showed an intention to be bound, which is the hallmark of a genuine offer rather than an invitation to treat. This part of the judgment gives future courts, and businesses, a workable test: look at the precision of the language used and at any objective conduct — such as setting aside funds — that signals seriousness of intention.</w:t>
      </w:r>
    </w:p>
    <w:p w14:paraId="0E3E7BF6" w14:textId="77777777" w:rsidR="00097193" w:rsidRDefault="00097193">
      <w:pPr>
        <w:spacing w:after="160" w:line="300" w:lineRule="auto"/>
        <w:jc w:val="both"/>
        <w:rPr>
          <w:rFonts w:ascii="Times New Roman" w:hAnsi="Times New Roman" w:cs="Times New Roman"/>
          <w:color w:val="000000" w:themeColor="text1"/>
          <w:sz w:val="24"/>
          <w:szCs w:val="24"/>
        </w:rPr>
      </w:pPr>
    </w:p>
    <w:p w14:paraId="6E437DEE" w14:textId="77777777" w:rsidR="00097193" w:rsidRDefault="00097193">
      <w:pPr>
        <w:spacing w:after="160" w:line="300" w:lineRule="auto"/>
        <w:jc w:val="both"/>
        <w:rPr>
          <w:rFonts w:ascii="Times New Roman" w:hAnsi="Times New Roman" w:cs="Times New Roman"/>
          <w:color w:val="000000" w:themeColor="text1"/>
          <w:sz w:val="24"/>
          <w:szCs w:val="24"/>
        </w:rPr>
      </w:pPr>
    </w:p>
    <w:p w14:paraId="5AB89C25" w14:textId="77777777" w:rsidR="00097193" w:rsidRDefault="00097193">
      <w:pPr>
        <w:spacing w:after="160" w:line="300" w:lineRule="auto"/>
        <w:jc w:val="both"/>
        <w:rPr>
          <w:rFonts w:ascii="Times New Roman" w:hAnsi="Times New Roman" w:cs="Times New Roman"/>
          <w:color w:val="000000" w:themeColor="text1"/>
          <w:sz w:val="24"/>
          <w:szCs w:val="24"/>
        </w:rPr>
      </w:pPr>
    </w:p>
    <w:p w14:paraId="714B05BA" w14:textId="77777777" w:rsidR="00097193" w:rsidRDefault="00097193">
      <w:pPr>
        <w:spacing w:after="160" w:line="300" w:lineRule="auto"/>
        <w:jc w:val="both"/>
        <w:rPr>
          <w:rFonts w:ascii="Times New Roman" w:hAnsi="Times New Roman" w:cs="Times New Roman"/>
          <w:color w:val="000000" w:themeColor="text1"/>
          <w:sz w:val="24"/>
          <w:szCs w:val="24"/>
        </w:rPr>
      </w:pPr>
    </w:p>
    <w:p w14:paraId="48E13946" w14:textId="77777777" w:rsidR="00036C40" w:rsidRPr="002C01A9" w:rsidRDefault="27012859">
      <w:pPr>
        <w:pStyle w:val="Heading2"/>
        <w:spacing w:before="300" w:after="150"/>
        <w:rPr>
          <w:rFonts w:ascii="Times New Roman" w:hAnsi="Times New Roman" w:cs="Times New Roman"/>
          <w:color w:val="000000" w:themeColor="text1"/>
          <w:sz w:val="24"/>
          <w:szCs w:val="24"/>
        </w:rPr>
      </w:pPr>
      <w:bookmarkStart w:id="14" w:name="_Toc613266816"/>
      <w:r w:rsidRPr="27012859">
        <w:rPr>
          <w:rFonts w:ascii="Times New Roman" w:hAnsi="Times New Roman" w:cs="Times New Roman"/>
          <w:b/>
          <w:bCs/>
          <w:color w:val="000000" w:themeColor="text1"/>
          <w:sz w:val="24"/>
          <w:szCs w:val="24"/>
        </w:rPr>
        <w:t>5.2 Mechanics of Acceptance</w:t>
      </w:r>
      <w:bookmarkEnd w:id="14"/>
    </w:p>
    <w:p w14:paraId="035F078D" w14:textId="77777777" w:rsidR="00036C40" w:rsidRPr="002C01A9" w:rsidRDefault="001A68E7">
      <w:pPr>
        <w:spacing w:after="160" w:line="300" w:lineRule="auto"/>
        <w:jc w:val="both"/>
        <w:rPr>
          <w:rFonts w:ascii="Times New Roman" w:hAnsi="Times New Roman" w:cs="Times New Roman"/>
          <w:color w:val="000000" w:themeColor="text1"/>
          <w:sz w:val="24"/>
          <w:szCs w:val="24"/>
        </w:rPr>
      </w:pPr>
      <w:r w:rsidRPr="002C01A9">
        <w:rPr>
          <w:rFonts w:ascii="Times New Roman" w:hAnsi="Times New Roman" w:cs="Times New Roman"/>
          <w:color w:val="000000" w:themeColor="text1"/>
          <w:sz w:val="24"/>
          <w:szCs w:val="24"/>
        </w:rPr>
        <w:t>Ordinarily, contract law follows something close to a 'mirror image' approach, where an offer must be accepted exactly on its own terms, and that acceptance is generally expected to be communicated to the offeror before a contract is complete. This case shows an important exception that applies specifically to unilateral contracts — agreements where one party promises something in exchange for an act, rather than in exchange for a matching promise from the other side.</w:t>
      </w:r>
    </w:p>
    <w:p w14:paraId="6FB16CE2" w14:textId="77777777" w:rsidR="00036C40" w:rsidRPr="002C01A9" w:rsidRDefault="001A68E7">
      <w:pPr>
        <w:spacing w:after="160" w:line="300" w:lineRule="auto"/>
        <w:jc w:val="both"/>
        <w:rPr>
          <w:rFonts w:ascii="Times New Roman" w:hAnsi="Times New Roman" w:cs="Times New Roman"/>
          <w:color w:val="000000" w:themeColor="text1"/>
          <w:sz w:val="24"/>
          <w:szCs w:val="24"/>
        </w:rPr>
      </w:pPr>
      <w:r w:rsidRPr="002C01A9">
        <w:rPr>
          <w:rFonts w:ascii="Times New Roman" w:hAnsi="Times New Roman" w:cs="Times New Roman"/>
          <w:color w:val="000000" w:themeColor="text1"/>
          <w:sz w:val="24"/>
          <w:szCs w:val="24"/>
        </w:rPr>
        <w:t>In such unilateral arrangements, the offeror can, expressly or by clear implication, do away with the need for the offeree to separately notify acceptance. The performance of the requested act itself operates as both the acceptance and, at the same time, the completion of the bargain. This is quite different from the postal rule, which deals with when acceptance sent by letter takes effect, or the rules developed later for instantaneous communication such as telex, fax, or email, where acceptance generally takes effect only once it is received. Carlill's case instead teaches that, for advertisement-based rewards and similar public offers, conduct that matches the requested performance is enough, and no separate message of acceptance needs to reach the offeror at all.</w:t>
      </w:r>
    </w:p>
    <w:p w14:paraId="04AB10F1" w14:textId="77777777" w:rsidR="00036C40" w:rsidRPr="002C01A9" w:rsidRDefault="27012859">
      <w:pPr>
        <w:pStyle w:val="Heading2"/>
        <w:spacing w:before="300" w:after="150"/>
        <w:rPr>
          <w:rFonts w:ascii="Times New Roman" w:hAnsi="Times New Roman" w:cs="Times New Roman"/>
          <w:color w:val="000000" w:themeColor="text1"/>
          <w:sz w:val="24"/>
          <w:szCs w:val="24"/>
        </w:rPr>
      </w:pPr>
      <w:bookmarkStart w:id="15" w:name="_Toc470841428"/>
      <w:r w:rsidRPr="27012859">
        <w:rPr>
          <w:rFonts w:ascii="Times New Roman" w:hAnsi="Times New Roman" w:cs="Times New Roman"/>
          <w:b/>
          <w:bCs/>
          <w:color w:val="000000" w:themeColor="text1"/>
          <w:sz w:val="24"/>
          <w:szCs w:val="24"/>
        </w:rPr>
        <w:t>5.3 Ancillary Pillars of Formation</w:t>
      </w:r>
      <w:bookmarkEnd w:id="15"/>
    </w:p>
    <w:p w14:paraId="31B5A453" w14:textId="77777777" w:rsidR="00036C40" w:rsidRPr="002C01A9" w:rsidRDefault="001A68E7">
      <w:pPr>
        <w:spacing w:after="160" w:line="300" w:lineRule="auto"/>
        <w:jc w:val="both"/>
        <w:rPr>
          <w:rFonts w:ascii="Times New Roman" w:hAnsi="Times New Roman" w:cs="Times New Roman"/>
          <w:color w:val="000000" w:themeColor="text1"/>
          <w:sz w:val="24"/>
          <w:szCs w:val="24"/>
        </w:rPr>
      </w:pPr>
      <w:r w:rsidRPr="002C01A9">
        <w:rPr>
          <w:rFonts w:ascii="Times New Roman" w:hAnsi="Times New Roman" w:cs="Times New Roman"/>
          <w:color w:val="000000" w:themeColor="text1"/>
          <w:sz w:val="24"/>
          <w:szCs w:val="24"/>
        </w:rPr>
        <w:t>Consideration: The court found consideration on both sides of the bargain. Mrs. Carlill's consideration was the trouble and inconvenience of buying and correctly using the smoke ball for the full two-week period, an act she was not otherwise obliged to perform. The company's consideration, from its own point of view, lay in the indirect commercial advantage of increased sales that this kind of advertising was expected to generate. Contract law does not require consideration to be extravagant or exactly equal in value to the promise made; it only needs to be real and to have moved at the request of the promisor, and both elements were present here.</w:t>
      </w:r>
    </w:p>
    <w:p w14:paraId="206DD587" w14:textId="77777777" w:rsidR="00036C40" w:rsidRDefault="001A68E7">
      <w:pPr>
        <w:spacing w:after="160" w:line="300" w:lineRule="auto"/>
        <w:jc w:val="both"/>
        <w:rPr>
          <w:rFonts w:ascii="Times New Roman" w:hAnsi="Times New Roman" w:cs="Times New Roman"/>
          <w:color w:val="000000" w:themeColor="text1"/>
          <w:sz w:val="24"/>
          <w:szCs w:val="24"/>
        </w:rPr>
      </w:pPr>
      <w:r w:rsidRPr="002C01A9">
        <w:rPr>
          <w:rFonts w:ascii="Times New Roman" w:hAnsi="Times New Roman" w:cs="Times New Roman"/>
          <w:color w:val="000000" w:themeColor="text1"/>
          <w:sz w:val="24"/>
          <w:szCs w:val="24"/>
        </w:rPr>
        <w:t>Intention to Create Legal Relations: For any agreement to be enforceable, both sides must have intended it to have legal consequences, and not simply be a social arrangement or a piece of casual talk. The company tried to argue that it never intended its advertisement to be legally binding. The court disagreed, pointing again to the deposit of £1,000 with the bank as objective proof that the company did intend to honour genuine claims. This shows that intention is judged objectively, based on what a reasonable person would understand from the words and conduct of the parties, rather than on what a party might later claim it privately intended.</w:t>
      </w:r>
    </w:p>
    <w:p w14:paraId="1CBC8784" w14:textId="77777777" w:rsidR="00097193" w:rsidRDefault="00097193">
      <w:pPr>
        <w:spacing w:after="160" w:line="300" w:lineRule="auto"/>
        <w:jc w:val="both"/>
        <w:rPr>
          <w:rFonts w:ascii="Times New Roman" w:hAnsi="Times New Roman" w:cs="Times New Roman"/>
          <w:color w:val="000000" w:themeColor="text1"/>
          <w:sz w:val="24"/>
          <w:szCs w:val="24"/>
        </w:rPr>
      </w:pPr>
    </w:p>
    <w:p w14:paraId="4332E0BC" w14:textId="77777777" w:rsidR="00097193" w:rsidRDefault="00097193">
      <w:pPr>
        <w:spacing w:after="160" w:line="300" w:lineRule="auto"/>
        <w:jc w:val="both"/>
        <w:rPr>
          <w:rFonts w:ascii="Times New Roman" w:hAnsi="Times New Roman" w:cs="Times New Roman"/>
          <w:color w:val="000000" w:themeColor="text1"/>
          <w:sz w:val="24"/>
          <w:szCs w:val="24"/>
        </w:rPr>
      </w:pPr>
    </w:p>
    <w:p w14:paraId="0023F5EE" w14:textId="77777777" w:rsidR="00097193" w:rsidRDefault="00097193">
      <w:pPr>
        <w:spacing w:after="160" w:line="300" w:lineRule="auto"/>
        <w:jc w:val="both"/>
        <w:rPr>
          <w:rFonts w:ascii="Times New Roman" w:hAnsi="Times New Roman" w:cs="Times New Roman"/>
          <w:color w:val="000000" w:themeColor="text1"/>
          <w:sz w:val="24"/>
          <w:szCs w:val="24"/>
        </w:rPr>
      </w:pPr>
    </w:p>
    <w:p w14:paraId="30A5598F" w14:textId="77777777" w:rsidR="00036C40" w:rsidRPr="002C01A9" w:rsidRDefault="27012859" w:rsidP="27012859">
      <w:pPr>
        <w:pStyle w:val="Heading1"/>
        <w:pBdr>
          <w:bottom w:val="single" w:sz="8" w:space="4" w:color="1F3864"/>
        </w:pBdr>
        <w:spacing w:before="400" w:after="200"/>
        <w:rPr>
          <w:rFonts w:ascii="Times New Roman" w:hAnsi="Times New Roman" w:cs="Times New Roman"/>
          <w:color w:val="000000" w:themeColor="text1"/>
          <w:sz w:val="24"/>
          <w:szCs w:val="24"/>
        </w:rPr>
      </w:pPr>
      <w:bookmarkStart w:id="16" w:name="_Toc578207681"/>
      <w:r w:rsidRPr="27012859">
        <w:rPr>
          <w:rFonts w:ascii="Times New Roman" w:hAnsi="Times New Roman" w:cs="Times New Roman"/>
          <w:b/>
          <w:bCs/>
          <w:color w:val="000000" w:themeColor="text1"/>
          <w:sz w:val="24"/>
          <w:szCs w:val="24"/>
        </w:rPr>
        <w:t>6. Business Relevance</w:t>
      </w:r>
      <w:bookmarkEnd w:id="16"/>
    </w:p>
    <w:p w14:paraId="5269A1A8" w14:textId="77777777" w:rsidR="00036C40" w:rsidRPr="002C01A9" w:rsidRDefault="27012859">
      <w:pPr>
        <w:pStyle w:val="Heading2"/>
        <w:spacing w:before="300" w:after="150"/>
        <w:rPr>
          <w:rFonts w:ascii="Times New Roman" w:hAnsi="Times New Roman" w:cs="Times New Roman"/>
          <w:color w:val="000000" w:themeColor="text1"/>
          <w:sz w:val="24"/>
          <w:szCs w:val="24"/>
        </w:rPr>
      </w:pPr>
      <w:bookmarkStart w:id="17" w:name="_Toc1573354094"/>
      <w:r w:rsidRPr="27012859">
        <w:rPr>
          <w:rFonts w:ascii="Times New Roman" w:hAnsi="Times New Roman" w:cs="Times New Roman"/>
          <w:b/>
          <w:bCs/>
          <w:color w:val="000000" w:themeColor="text1"/>
          <w:sz w:val="24"/>
          <w:szCs w:val="24"/>
        </w:rPr>
        <w:t>6.1 Application in Modern Business</w:t>
      </w:r>
      <w:bookmarkEnd w:id="17"/>
    </w:p>
    <w:p w14:paraId="396B9AA6" w14:textId="77777777" w:rsidR="00036C40" w:rsidRPr="002C01A9" w:rsidRDefault="001A68E7">
      <w:pPr>
        <w:spacing w:after="160" w:line="300" w:lineRule="auto"/>
        <w:jc w:val="both"/>
        <w:rPr>
          <w:rFonts w:ascii="Times New Roman" w:hAnsi="Times New Roman" w:cs="Times New Roman"/>
          <w:color w:val="000000" w:themeColor="text1"/>
          <w:sz w:val="24"/>
          <w:szCs w:val="24"/>
        </w:rPr>
      </w:pPr>
      <w:r w:rsidRPr="002C01A9">
        <w:rPr>
          <w:rFonts w:ascii="Times New Roman" w:hAnsi="Times New Roman" w:cs="Times New Roman"/>
          <w:color w:val="000000" w:themeColor="text1"/>
          <w:sz w:val="24"/>
          <w:szCs w:val="24"/>
        </w:rPr>
        <w:t xml:space="preserve">Although decided in 1892, the principles from this case remain directly relevant to how businesses operate today, especially in advertising, e-commerce, and technology-driven sectors. Modern promotional campaigns — cashback offers, 'money-back guarantees', loyalty reward schemes, referral bonuses, and warranty </w:t>
      </w:r>
      <w:proofErr w:type="gramStart"/>
      <w:r w:rsidRPr="002C01A9">
        <w:rPr>
          <w:rFonts w:ascii="Times New Roman" w:hAnsi="Times New Roman" w:cs="Times New Roman"/>
          <w:color w:val="000000" w:themeColor="text1"/>
          <w:sz w:val="24"/>
          <w:szCs w:val="24"/>
        </w:rPr>
        <w:t>promises</w:t>
      </w:r>
      <w:proofErr w:type="gramEnd"/>
      <w:r w:rsidRPr="002C01A9">
        <w:rPr>
          <w:rFonts w:ascii="Times New Roman" w:hAnsi="Times New Roman" w:cs="Times New Roman"/>
          <w:color w:val="000000" w:themeColor="text1"/>
          <w:sz w:val="24"/>
          <w:szCs w:val="24"/>
        </w:rPr>
        <w:t xml:space="preserve"> — are all, at their core, unilateral offers of the same kind made by the Carbolic Smoke Ball Company. A business that promises a reward, refund, or benefit if a customer performs a </w:t>
      </w:r>
      <w:proofErr w:type="gramStart"/>
      <w:r w:rsidRPr="002C01A9">
        <w:rPr>
          <w:rFonts w:ascii="Times New Roman" w:hAnsi="Times New Roman" w:cs="Times New Roman"/>
          <w:color w:val="000000" w:themeColor="text1"/>
          <w:sz w:val="24"/>
          <w:szCs w:val="24"/>
        </w:rPr>
        <w:t>specific action risks</w:t>
      </w:r>
      <w:proofErr w:type="gramEnd"/>
      <w:r w:rsidRPr="002C01A9">
        <w:rPr>
          <w:rFonts w:ascii="Times New Roman" w:hAnsi="Times New Roman" w:cs="Times New Roman"/>
          <w:color w:val="000000" w:themeColor="text1"/>
          <w:sz w:val="24"/>
          <w:szCs w:val="24"/>
        </w:rPr>
        <w:t xml:space="preserve"> being legally bound the moment a customer performs that action, even without signing any formal agreement.</w:t>
      </w:r>
    </w:p>
    <w:p w14:paraId="7018AC5E" w14:textId="77777777" w:rsidR="00036C40" w:rsidRPr="002C01A9" w:rsidRDefault="001A68E7">
      <w:pPr>
        <w:spacing w:after="160" w:line="300" w:lineRule="auto"/>
        <w:jc w:val="both"/>
        <w:rPr>
          <w:rFonts w:ascii="Times New Roman" w:hAnsi="Times New Roman" w:cs="Times New Roman"/>
          <w:color w:val="000000" w:themeColor="text1"/>
          <w:sz w:val="24"/>
          <w:szCs w:val="24"/>
        </w:rPr>
      </w:pPr>
      <w:r w:rsidRPr="002C01A9">
        <w:rPr>
          <w:rFonts w:ascii="Times New Roman" w:hAnsi="Times New Roman" w:cs="Times New Roman"/>
          <w:color w:val="000000" w:themeColor="text1"/>
          <w:sz w:val="24"/>
          <w:szCs w:val="24"/>
        </w:rPr>
        <w:t>In the world of online business, terms displayed on a website, in a mobile app, or in a promotional email can be treated as offers if they are specific enough and show a genuine intention to be bound. Clicking 'I agree', completing a purchase, or simply using a product or service as instructed can count as acceptance, much like Mrs. Carlill's act of using the smoke ball. Fintech companies, in particular, often run promotional schemes — for instance, promising cashback or bonus credits for using an app a certain number of times — and this case is a reminder that such promises are not risk-free marketing lines; they can create real legal obligations.</w:t>
      </w:r>
    </w:p>
    <w:p w14:paraId="7D9978B9" w14:textId="77777777" w:rsidR="00036C40" w:rsidRPr="002C01A9" w:rsidRDefault="27012859">
      <w:pPr>
        <w:pStyle w:val="Heading2"/>
        <w:spacing w:before="300" w:after="150"/>
        <w:rPr>
          <w:rFonts w:ascii="Times New Roman" w:hAnsi="Times New Roman" w:cs="Times New Roman"/>
          <w:color w:val="000000" w:themeColor="text1"/>
          <w:sz w:val="24"/>
          <w:szCs w:val="24"/>
        </w:rPr>
      </w:pPr>
      <w:bookmarkStart w:id="18" w:name="_Toc962858508"/>
      <w:r w:rsidRPr="27012859">
        <w:rPr>
          <w:rFonts w:ascii="Times New Roman" w:hAnsi="Times New Roman" w:cs="Times New Roman"/>
          <w:b/>
          <w:bCs/>
          <w:color w:val="000000" w:themeColor="text1"/>
          <w:sz w:val="24"/>
          <w:szCs w:val="24"/>
        </w:rPr>
        <w:t>6.2 Risk Management and Operational Compliance</w:t>
      </w:r>
      <w:bookmarkEnd w:id="18"/>
    </w:p>
    <w:p w14:paraId="03B944AD" w14:textId="77777777" w:rsidR="00036C40" w:rsidRPr="002C01A9" w:rsidRDefault="001A68E7">
      <w:pPr>
        <w:spacing w:after="160" w:line="300" w:lineRule="auto"/>
        <w:jc w:val="both"/>
        <w:rPr>
          <w:rFonts w:ascii="Times New Roman" w:hAnsi="Times New Roman" w:cs="Times New Roman"/>
          <w:color w:val="000000" w:themeColor="text1"/>
          <w:sz w:val="24"/>
          <w:szCs w:val="24"/>
        </w:rPr>
      </w:pPr>
      <w:r w:rsidRPr="002C01A9">
        <w:rPr>
          <w:rFonts w:ascii="Times New Roman" w:hAnsi="Times New Roman" w:cs="Times New Roman"/>
          <w:color w:val="000000" w:themeColor="text1"/>
          <w:sz w:val="24"/>
          <w:szCs w:val="24"/>
        </w:rPr>
        <w:t>For any business, the case offers several practical lessons in risk management and careful contract drafting. First, advertising and marketing language should be reviewed for precision, because vague-sounding promises can still be treated as binding offers if a reasonable reader would understand them as serious commitments. Second, any conditions attached to a reward or guarantee — such as time limits, proof of performance, or eligibility criteria — should be spelled out clearly and completely, since ambiguity generally works against the party that drafted the offer. Third, businesses should avoid making promises they are not prepared to honour, since claiming, after the fact, that a promotional statement was 'just an advertisement' is unlikely to succeed once a customer has relied on it and performed the requested act.</w:t>
      </w:r>
    </w:p>
    <w:p w14:paraId="758C50E0" w14:textId="77777777" w:rsidR="00036C40" w:rsidRDefault="001A68E7">
      <w:pPr>
        <w:spacing w:after="160" w:line="300" w:lineRule="auto"/>
        <w:jc w:val="both"/>
        <w:rPr>
          <w:rFonts w:ascii="Times New Roman" w:hAnsi="Times New Roman" w:cs="Times New Roman"/>
          <w:color w:val="000000" w:themeColor="text1"/>
          <w:sz w:val="24"/>
          <w:szCs w:val="24"/>
        </w:rPr>
      </w:pPr>
      <w:r w:rsidRPr="002C01A9">
        <w:rPr>
          <w:rFonts w:ascii="Times New Roman" w:hAnsi="Times New Roman" w:cs="Times New Roman"/>
          <w:color w:val="000000" w:themeColor="text1"/>
          <w:sz w:val="24"/>
          <w:szCs w:val="24"/>
        </w:rPr>
        <w:t>Legal and compliance teams can use this case as a checklist when reviewing promotional material: does the offer clearly identify what must be done to qualify; is there a defined time frame; is there any step, similar to the bank deposit in this case, that could later be read by a court as evidence of serious intention; and has the business considered what happens if a very large number of people actually perform the conditions and claim the reward. Building these questions into a standard legal review process for advertising campaigns helps reduce the risk of unplanned liability.</w:t>
      </w:r>
    </w:p>
    <w:p w14:paraId="60D6D593" w14:textId="77777777" w:rsidR="00587EFE" w:rsidRDefault="00587EFE">
      <w:pPr>
        <w:spacing w:after="160" w:line="300" w:lineRule="auto"/>
        <w:jc w:val="both"/>
        <w:rPr>
          <w:rFonts w:ascii="Times New Roman" w:hAnsi="Times New Roman" w:cs="Times New Roman"/>
          <w:color w:val="000000" w:themeColor="text1"/>
          <w:sz w:val="24"/>
          <w:szCs w:val="24"/>
        </w:rPr>
      </w:pPr>
    </w:p>
    <w:p w14:paraId="23078BC6" w14:textId="77777777" w:rsidR="00036C40" w:rsidRPr="002C01A9" w:rsidRDefault="27012859" w:rsidP="27012859">
      <w:pPr>
        <w:pStyle w:val="Heading1"/>
        <w:pBdr>
          <w:bottom w:val="single" w:sz="8" w:space="4" w:color="1F3864"/>
        </w:pBdr>
        <w:spacing w:before="400" w:after="200"/>
        <w:rPr>
          <w:rFonts w:ascii="Times New Roman" w:hAnsi="Times New Roman" w:cs="Times New Roman"/>
          <w:color w:val="000000" w:themeColor="text1"/>
          <w:sz w:val="24"/>
          <w:szCs w:val="24"/>
        </w:rPr>
      </w:pPr>
      <w:bookmarkStart w:id="19" w:name="_Toc898689545"/>
      <w:r w:rsidRPr="27012859">
        <w:rPr>
          <w:rFonts w:ascii="Times New Roman" w:hAnsi="Times New Roman" w:cs="Times New Roman"/>
          <w:b/>
          <w:bCs/>
          <w:color w:val="000000" w:themeColor="text1"/>
          <w:sz w:val="24"/>
          <w:szCs w:val="24"/>
        </w:rPr>
        <w:t>7. Conclusion</w:t>
      </w:r>
      <w:bookmarkEnd w:id="19"/>
    </w:p>
    <w:p w14:paraId="738A0212" w14:textId="77777777" w:rsidR="00036C40" w:rsidRPr="002C01A9" w:rsidRDefault="27012859">
      <w:pPr>
        <w:pStyle w:val="Heading2"/>
        <w:spacing w:before="300" w:after="150"/>
        <w:rPr>
          <w:rFonts w:ascii="Times New Roman" w:hAnsi="Times New Roman" w:cs="Times New Roman"/>
          <w:color w:val="000000" w:themeColor="text1"/>
          <w:sz w:val="24"/>
          <w:szCs w:val="24"/>
        </w:rPr>
      </w:pPr>
      <w:bookmarkStart w:id="20" w:name="_Toc1337878183"/>
      <w:r w:rsidRPr="27012859">
        <w:rPr>
          <w:rFonts w:ascii="Times New Roman" w:hAnsi="Times New Roman" w:cs="Times New Roman"/>
          <w:b/>
          <w:bCs/>
          <w:color w:val="000000" w:themeColor="text1"/>
          <w:sz w:val="24"/>
          <w:szCs w:val="24"/>
        </w:rPr>
        <w:t>7.1 Personal Learning and Observations</w:t>
      </w:r>
      <w:bookmarkEnd w:id="20"/>
    </w:p>
    <w:p w14:paraId="107E4FE6" w14:textId="77777777" w:rsidR="00036C40" w:rsidRPr="002C01A9" w:rsidRDefault="001A68E7">
      <w:pPr>
        <w:spacing w:after="160" w:line="300" w:lineRule="auto"/>
        <w:jc w:val="both"/>
        <w:rPr>
          <w:rFonts w:ascii="Times New Roman" w:hAnsi="Times New Roman" w:cs="Times New Roman"/>
          <w:color w:val="000000" w:themeColor="text1"/>
          <w:sz w:val="24"/>
          <w:szCs w:val="24"/>
        </w:rPr>
      </w:pPr>
      <w:r w:rsidRPr="002C01A9">
        <w:rPr>
          <w:rFonts w:ascii="Times New Roman" w:hAnsi="Times New Roman" w:cs="Times New Roman"/>
          <w:color w:val="000000" w:themeColor="text1"/>
          <w:sz w:val="24"/>
          <w:szCs w:val="24"/>
        </w:rPr>
        <w:t>Studying Carlill v. Carbolic Smoke Ball Company makes the abstract building blocks of contract law — offer, acceptance, consideration, and intention to create legal relations — feel concrete and easy to picture, because the facts involve an everyday product and an everyday consumer rather than a complex commercial transaction. The most valuable takeaway is that the law looks at substance over form: it does not matter that the 'agreement' was never signed, never discussed face to face, and was addressed to the public at large rather than to a named person. What mattered was that the words used were specific, the company backed up its promise with a real financial commitment, and Mrs. Carlill did precisely what was asked of her.</w:t>
      </w:r>
    </w:p>
    <w:p w14:paraId="58CBD8A2" w14:textId="77777777" w:rsidR="00036C40" w:rsidRPr="002C01A9" w:rsidRDefault="001A68E7">
      <w:pPr>
        <w:spacing w:after="160" w:line="300" w:lineRule="auto"/>
        <w:jc w:val="both"/>
        <w:rPr>
          <w:rFonts w:ascii="Times New Roman" w:hAnsi="Times New Roman" w:cs="Times New Roman"/>
          <w:color w:val="000000" w:themeColor="text1"/>
          <w:sz w:val="24"/>
          <w:szCs w:val="24"/>
        </w:rPr>
      </w:pPr>
      <w:r w:rsidRPr="002C01A9">
        <w:rPr>
          <w:rFonts w:ascii="Times New Roman" w:hAnsi="Times New Roman" w:cs="Times New Roman"/>
          <w:color w:val="000000" w:themeColor="text1"/>
          <w:sz w:val="24"/>
          <w:szCs w:val="24"/>
        </w:rPr>
        <w:t>A second important observation is how the case protects the ordinary consumer against a large company that tries to walk back its own public promises. This consumer-protection angle feels just as relevant today, in an age of online advertisements, influencer promotions, and app-based reward schemes, as it was in the age of newspaper advertisements. It shows that the law adapts old principles to new situations rather than needing a completely new rule for every new form of communication.</w:t>
      </w:r>
    </w:p>
    <w:p w14:paraId="1F42B3E4" w14:textId="77777777" w:rsidR="00036C40" w:rsidRPr="002C01A9" w:rsidRDefault="001A68E7">
      <w:pPr>
        <w:spacing w:after="160" w:line="300" w:lineRule="auto"/>
        <w:jc w:val="both"/>
        <w:rPr>
          <w:rFonts w:ascii="Times New Roman" w:hAnsi="Times New Roman" w:cs="Times New Roman"/>
          <w:color w:val="000000" w:themeColor="text1"/>
          <w:sz w:val="24"/>
          <w:szCs w:val="24"/>
        </w:rPr>
      </w:pPr>
      <w:r w:rsidRPr="002C01A9">
        <w:rPr>
          <w:rFonts w:ascii="Times New Roman" w:hAnsi="Times New Roman" w:cs="Times New Roman"/>
          <w:color w:val="000000" w:themeColor="text1"/>
          <w:sz w:val="24"/>
          <w:szCs w:val="24"/>
        </w:rPr>
        <w:t>Finally, from the perspective of a commerce and fintech student, the case is a useful reminder that legal risk in business is often created not in formal contracts but in everyday marketing language. A single carelessly worded promotional line can, in principle, create the same kind of binding obligation that Mrs. Carlill was able to enforce against the Carbolic Smoke Ball Company. This makes the case not just a historical curiosity, but a practical lesson in careful, honest, and legally aware business communication.</w:t>
      </w:r>
    </w:p>
    <w:p w14:paraId="5CFC0107" w14:textId="77777777" w:rsidR="00036C40" w:rsidRPr="002B51DE" w:rsidRDefault="00036C40">
      <w:pPr>
        <w:pBdr>
          <w:top w:val="single" w:sz="4" w:space="4" w:color="595959"/>
        </w:pBdr>
        <w:spacing w:before="400"/>
        <w:rPr>
          <w:rFonts w:ascii="Times New Roman" w:hAnsi="Times New Roman" w:cs="Times New Roman"/>
          <w:color w:val="000000" w:themeColor="text1"/>
        </w:rPr>
      </w:pPr>
    </w:p>
    <w:p w14:paraId="4AC04328" w14:textId="5BADE4BA" w:rsidR="00036C40" w:rsidRPr="002B51DE" w:rsidRDefault="00036C40">
      <w:pPr>
        <w:spacing w:before="200"/>
        <w:rPr>
          <w:rFonts w:ascii="Times New Roman" w:hAnsi="Times New Roman" w:cs="Times New Roman"/>
          <w:color w:val="000000" w:themeColor="text1"/>
        </w:rPr>
      </w:pPr>
    </w:p>
    <w:sectPr w:rsidR="00036C40" w:rsidRPr="002B51DE">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581D55" w14:textId="77777777" w:rsidR="00E539E5" w:rsidRDefault="00E539E5">
      <w:r>
        <w:separator/>
      </w:r>
    </w:p>
  </w:endnote>
  <w:endnote w:type="continuationSeparator" w:id="0">
    <w:p w14:paraId="4C8390B3" w14:textId="77777777" w:rsidR="00E539E5" w:rsidRDefault="00E539E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panose1 w:val="00000000000000000000"/>
    <w:charset w:val="00"/>
    <w:family w:val="roman"/>
    <w:notTrueType/>
    <w:pitch w:val="default"/>
  </w:font>
  <w:font w:name="Yu Mincho">
    <w:altName w:val="游明朝"/>
    <w:panose1 w:val="00000000000000000000"/>
    <w:charset w:val="80"/>
    <w:family w:val="roman"/>
    <w:notTrueType/>
    <w:pitch w:val="default"/>
  </w:font>
  <w:font w:name="Aptos">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8751E0" w14:textId="77777777" w:rsidR="000C7F37" w:rsidRDefault="000C7F37">
    <w:pPr>
      <w:jc w:val="center"/>
    </w:pPr>
    <w:r>
      <w:rPr>
        <w:color w:val="595959"/>
        <w:sz w:val="18"/>
        <w:szCs w:val="18"/>
      </w:rPr>
      <w:t xml:space="preserve">Page </w:t>
    </w:r>
    <w:r>
      <w:rPr>
        <w:color w:val="595959"/>
        <w:sz w:val="18"/>
        <w:szCs w:val="18"/>
      </w:rPr>
      <w:fldChar w:fldCharType="begin"/>
    </w:r>
    <w:r>
      <w:rPr>
        <w:color w:val="595959"/>
        <w:sz w:val="18"/>
        <w:szCs w:val="18"/>
      </w:rPr>
      <w:instrText>PAGE</w:instrText>
    </w:r>
    <w:r>
      <w:rPr>
        <w:color w:val="595959"/>
        <w:sz w:val="18"/>
        <w:szCs w:val="18"/>
      </w:rPr>
      <w:fldChar w:fldCharType="separate"/>
    </w:r>
    <w:r>
      <w:rPr>
        <w:noProof/>
        <w:color w:val="595959"/>
        <w:sz w:val="18"/>
        <w:szCs w:val="18"/>
      </w:rPr>
      <w:t>2</w:t>
    </w:r>
    <w:r>
      <w:rPr>
        <w:color w:val="595959"/>
        <w:sz w:val="18"/>
        <w:szCs w:val="18"/>
      </w:rPr>
      <w:fldChar w:fldCharType="end"/>
    </w:r>
    <w:r>
      <w:rPr>
        <w:color w:val="595959"/>
        <w:sz w:val="18"/>
        <w:szCs w:val="18"/>
      </w:rPr>
      <w:t xml:space="preserve"> of </w:t>
    </w:r>
    <w:r>
      <w:rPr>
        <w:color w:val="595959"/>
        <w:sz w:val="18"/>
        <w:szCs w:val="18"/>
      </w:rPr>
      <w:fldChar w:fldCharType="begin"/>
    </w:r>
    <w:r>
      <w:rPr>
        <w:color w:val="595959"/>
        <w:sz w:val="18"/>
        <w:szCs w:val="18"/>
      </w:rPr>
      <w:instrText>NUMPAGES</w:instrText>
    </w:r>
    <w:r>
      <w:rPr>
        <w:color w:val="595959"/>
        <w:sz w:val="18"/>
        <w:szCs w:val="18"/>
      </w:rPr>
      <w:fldChar w:fldCharType="separate"/>
    </w:r>
    <w:r>
      <w:rPr>
        <w:noProof/>
        <w:color w:val="595959"/>
        <w:sz w:val="18"/>
        <w:szCs w:val="18"/>
      </w:rPr>
      <w:t>3</w:t>
    </w:r>
    <w:r>
      <w:rPr>
        <w:color w:val="59595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4D6B33" w14:textId="77777777" w:rsidR="00E539E5" w:rsidRDefault="00E539E5">
      <w:r>
        <w:separator/>
      </w:r>
    </w:p>
  </w:footnote>
  <w:footnote w:type="continuationSeparator" w:id="0">
    <w:p w14:paraId="75BD9D29" w14:textId="77777777" w:rsidR="00E539E5" w:rsidRDefault="00E539E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62AC42" w14:textId="77777777" w:rsidR="000C7F37" w:rsidRDefault="000C7F37">
    <w:pPr>
      <w:jc w:val="right"/>
    </w:pPr>
    <w:r>
      <w:rPr>
        <w:i/>
        <w:iCs/>
        <w:color w:val="595959"/>
        <w:sz w:val="16"/>
        <w:szCs w:val="16"/>
      </w:rPr>
      <w:t>Carlill v. Carbolic Smoke Ball Co. — Case Analysis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FF44DA"/>
    <w:multiLevelType w:val="hybridMultilevel"/>
    <w:tmpl w:val="E3000FAA"/>
    <w:lvl w:ilvl="0" w:tplc="5E2E66E6">
      <w:start w:val="1"/>
      <w:numFmt w:val="bullet"/>
      <w:lvlText w:val="●"/>
      <w:lvlJc w:val="left"/>
      <w:pPr>
        <w:ind w:left="720" w:hanging="360"/>
      </w:pPr>
    </w:lvl>
    <w:lvl w:ilvl="1" w:tplc="F7004B4A">
      <w:start w:val="1"/>
      <w:numFmt w:val="bullet"/>
      <w:lvlText w:val="○"/>
      <w:lvlJc w:val="left"/>
      <w:pPr>
        <w:ind w:left="1440" w:hanging="360"/>
      </w:pPr>
    </w:lvl>
    <w:lvl w:ilvl="2" w:tplc="E602897A">
      <w:start w:val="1"/>
      <w:numFmt w:val="bullet"/>
      <w:lvlText w:val="■"/>
      <w:lvlJc w:val="left"/>
      <w:pPr>
        <w:ind w:left="2160" w:hanging="360"/>
      </w:pPr>
    </w:lvl>
    <w:lvl w:ilvl="3" w:tplc="A3ACA8C4">
      <w:start w:val="1"/>
      <w:numFmt w:val="bullet"/>
      <w:lvlText w:val="●"/>
      <w:lvlJc w:val="left"/>
      <w:pPr>
        <w:ind w:left="2880" w:hanging="360"/>
      </w:pPr>
    </w:lvl>
    <w:lvl w:ilvl="4" w:tplc="FA787208">
      <w:start w:val="1"/>
      <w:numFmt w:val="bullet"/>
      <w:lvlText w:val="○"/>
      <w:lvlJc w:val="left"/>
      <w:pPr>
        <w:ind w:left="3600" w:hanging="360"/>
      </w:pPr>
    </w:lvl>
    <w:lvl w:ilvl="5" w:tplc="1706AEF8">
      <w:start w:val="1"/>
      <w:numFmt w:val="bullet"/>
      <w:lvlText w:val="■"/>
      <w:lvlJc w:val="left"/>
      <w:pPr>
        <w:ind w:left="4320" w:hanging="360"/>
      </w:pPr>
    </w:lvl>
    <w:lvl w:ilvl="6" w:tplc="D702E1BC">
      <w:start w:val="1"/>
      <w:numFmt w:val="bullet"/>
      <w:lvlText w:val="●"/>
      <w:lvlJc w:val="left"/>
      <w:pPr>
        <w:ind w:left="5040" w:hanging="360"/>
      </w:pPr>
    </w:lvl>
    <w:lvl w:ilvl="7" w:tplc="6A6E7CD6">
      <w:start w:val="1"/>
      <w:numFmt w:val="bullet"/>
      <w:lvlText w:val="●"/>
      <w:lvlJc w:val="left"/>
      <w:pPr>
        <w:ind w:left="5760" w:hanging="360"/>
      </w:pPr>
    </w:lvl>
    <w:lvl w:ilvl="8" w:tplc="A1DC07F6">
      <w:start w:val="1"/>
      <w:numFmt w:val="bullet"/>
      <w:lvlText w:val="●"/>
      <w:lvlJc w:val="left"/>
      <w:pPr>
        <w:ind w:left="6480" w:hanging="360"/>
      </w:pPr>
    </w:lvl>
  </w:abstractNum>
  <w:num w:numId="1" w16cid:durableId="136852860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36C40"/>
    <w:rsid w:val="000163CF"/>
    <w:rsid w:val="00036C40"/>
    <w:rsid w:val="000372FA"/>
    <w:rsid w:val="0004713C"/>
    <w:rsid w:val="00061566"/>
    <w:rsid w:val="00094EBE"/>
    <w:rsid w:val="00097193"/>
    <w:rsid w:val="000B1304"/>
    <w:rsid w:val="000C6AA0"/>
    <w:rsid w:val="000C7F37"/>
    <w:rsid w:val="001A68E7"/>
    <w:rsid w:val="001C74BC"/>
    <w:rsid w:val="001E0E45"/>
    <w:rsid w:val="001F3CF1"/>
    <w:rsid w:val="002944BD"/>
    <w:rsid w:val="002B51DE"/>
    <w:rsid w:val="002C01A9"/>
    <w:rsid w:val="002D16A0"/>
    <w:rsid w:val="002D40DF"/>
    <w:rsid w:val="003203F7"/>
    <w:rsid w:val="003A1433"/>
    <w:rsid w:val="003B36AF"/>
    <w:rsid w:val="004114E8"/>
    <w:rsid w:val="00434D2A"/>
    <w:rsid w:val="004437F6"/>
    <w:rsid w:val="004701F7"/>
    <w:rsid w:val="00472A9C"/>
    <w:rsid w:val="00587EFE"/>
    <w:rsid w:val="005C0078"/>
    <w:rsid w:val="005F49B2"/>
    <w:rsid w:val="00620B12"/>
    <w:rsid w:val="006550D7"/>
    <w:rsid w:val="00763FAB"/>
    <w:rsid w:val="007E7768"/>
    <w:rsid w:val="00803059"/>
    <w:rsid w:val="008C66BC"/>
    <w:rsid w:val="009066E1"/>
    <w:rsid w:val="00963BC1"/>
    <w:rsid w:val="00B537B2"/>
    <w:rsid w:val="00B5765A"/>
    <w:rsid w:val="00B97ACE"/>
    <w:rsid w:val="00C55FF8"/>
    <w:rsid w:val="00CA73E3"/>
    <w:rsid w:val="00CD4DA5"/>
    <w:rsid w:val="00D43AB0"/>
    <w:rsid w:val="00E539E5"/>
    <w:rsid w:val="00F36154"/>
    <w:rsid w:val="00F5083B"/>
    <w:rsid w:val="00FC7A7F"/>
    <w:rsid w:val="27012859"/>
    <w:rsid w:val="6959ABD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442577"/>
  <w15:docId w15:val="{E1F17FBF-5632-45FB-9134-1D227F0613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link w:val="Heading1Char"/>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uiPriority w:val="39"/>
    <w:unhideWhenUsed/>
    <w:rsid w:val="27012859"/>
    <w:pPr>
      <w:spacing w:after="100"/>
    </w:pPr>
  </w:style>
  <w:style w:type="paragraph" w:styleId="TOC2">
    <w:name w:val="toc 2"/>
    <w:basedOn w:val="Normal"/>
    <w:next w:val="Normal"/>
    <w:uiPriority w:val="39"/>
    <w:unhideWhenUsed/>
    <w:rsid w:val="27012859"/>
    <w:pPr>
      <w:spacing w:after="100"/>
      <w:ind w:left="220"/>
    </w:pPr>
  </w:style>
  <w:style w:type="character" w:customStyle="1" w:styleId="Heading1Char">
    <w:name w:val="Heading 1 Char"/>
    <w:basedOn w:val="DefaultParagraphFont"/>
    <w:link w:val="Heading1"/>
    <w:uiPriority w:val="9"/>
    <w:rsid w:val="00763FAB"/>
    <w:rPr>
      <w:color w:val="2E74B5"/>
      <w:sz w:val="32"/>
      <w:szCs w:val="32"/>
    </w:rPr>
  </w:style>
  <w:style w:type="table" w:styleId="TableGrid">
    <w:name w:val="Table Grid"/>
    <w:basedOn w:val="TableNormal"/>
    <w:uiPriority w:val="39"/>
    <w:rsid w:val="00763FA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semiHidden/>
    <w:unhideWhenUsed/>
    <w:rsid w:val="00B5765A"/>
    <w:pPr>
      <w:tabs>
        <w:tab w:val="center" w:pos="4513"/>
        <w:tab w:val="right" w:pos="9026"/>
      </w:tabs>
    </w:pPr>
  </w:style>
  <w:style w:type="character" w:customStyle="1" w:styleId="HeaderChar">
    <w:name w:val="Header Char"/>
    <w:basedOn w:val="DefaultParagraphFont"/>
    <w:link w:val="Header"/>
    <w:uiPriority w:val="99"/>
    <w:semiHidden/>
    <w:rsid w:val="00B5765A"/>
  </w:style>
  <w:style w:type="paragraph" w:styleId="Footer">
    <w:name w:val="footer"/>
    <w:basedOn w:val="Normal"/>
    <w:link w:val="FooterChar"/>
    <w:uiPriority w:val="99"/>
    <w:semiHidden/>
    <w:unhideWhenUsed/>
    <w:rsid w:val="00B5765A"/>
    <w:pPr>
      <w:tabs>
        <w:tab w:val="center" w:pos="4513"/>
        <w:tab w:val="right" w:pos="9026"/>
      </w:tabs>
    </w:pPr>
  </w:style>
  <w:style w:type="character" w:customStyle="1" w:styleId="FooterChar">
    <w:name w:val="Footer Char"/>
    <w:basedOn w:val="DefaultParagraphFont"/>
    <w:link w:val="Footer"/>
    <w:uiPriority w:val="99"/>
    <w:semiHidden/>
    <w:rsid w:val="00B5765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TotalTime>
  <Pages>1</Pages>
  <Words>2870</Words>
  <Characters>16361</Characters>
  <Application>Microsoft Office Word</Application>
  <DocSecurity>4</DocSecurity>
  <Lines>136</Lines>
  <Paragraphs>38</Paragraphs>
  <ScaleCrop>false</ScaleCrop>
  <Company/>
  <LinksUpToDate>false</LinksUpToDate>
  <CharactersWithSpaces>19193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cp:lastModifiedBy>Deenah .N</cp:lastModifiedBy>
  <cp:revision>31</cp:revision>
  <dcterms:created xsi:type="dcterms:W3CDTF">2026-07-06T05:13:00Z</dcterms:created>
  <dcterms:modified xsi:type="dcterms:W3CDTF">2026-07-06T08:40:00Z</dcterms:modified>
</cp:coreProperties>
</file>