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23B3B"/>
          <w:sz w:val="16"/>
        </w:rPr>
        <w:t>SYNTHETIC / FOR RAG TESTING ONLY</w:t>
      </w:r>
    </w:p>
    <w:p>
      <w:pPr>
        <w:pStyle w:val="Title"/>
      </w:pPr>
      <w:r>
        <w:t>Claim Correspondence</w:t>
      </w:r>
    </w:p>
    <w:p>
      <w:pPr>
        <w:pStyle w:val="Subtitle"/>
      </w:pPr>
      <w:r>
        <w:t>Claim CLM-2026-10001 | Chronological email and call-note bundle</w:t>
      </w:r>
    </w:p>
    <w:p>
      <w:pPr>
        <w:pStyle w:val="Heading1"/>
      </w:pPr>
      <w:r>
        <w:t>1. Automated acknowledgement</w:t>
      </w:r>
    </w:p>
    <w:tbl>
      <w:tblPr>
        <w:tblW w:type="auto" w:w="0"/>
        <w:jc w:val="center"/>
        <w:tblLayout w:type="fixed"/>
        <w:tblLook w:firstColumn="1" w:firstRow="1" w:lastColumn="0" w:lastRow="0" w:noHBand="0" w:noVBand="1" w:val="04A0"/>
      </w:tblPr>
      <w:tblGrid>
        <w:gridCol w:w="4680"/>
        <w:gridCol w:w="4680"/>
      </w:tblGrid>
      <w:tr>
        <w:tc>
          <w:tcPr>
            <w:tcW w:type="dxa" w:w="1872"/>
            <w:vAlign w:val="top"/>
            <w:shd w:fill="15324B"/>
          </w:tcPr>
          <w:p>
            <w:r/>
            <w:r>
              <w:rPr>
                <w:rFonts w:ascii="Calibri" w:hAnsi="Calibri"/>
                <w:b/>
                <w:color w:val="FFFFFF"/>
                <w:sz w:val="16"/>
              </w:rPr>
              <w:t>Field</w:t>
            </w:r>
          </w:p>
        </w:tc>
        <w:tc>
          <w:tcPr>
            <w:tcW w:type="dxa" w:w="7488"/>
            <w:vAlign w:val="top"/>
            <w:shd w:fill="15324B"/>
          </w:tcPr>
          <w:p>
            <w:r/>
            <w:r>
              <w:rPr>
                <w:rFonts w:ascii="Calibri" w:hAnsi="Calibri"/>
                <w:b/>
                <w:color w:val="FFFFFF"/>
                <w:sz w:val="16"/>
              </w:rPr>
              <w:t>Detail</w:t>
            </w:r>
          </w:p>
        </w:tc>
      </w:tr>
      <w:tr>
        <w:tc>
          <w:tcPr>
            <w:tcW w:type="dxa" w:w="1872"/>
            <w:vAlign w:val="top"/>
            <w:shd w:fill="F6F8F9"/>
          </w:tcPr>
          <w:p>
            <w:r/>
            <w:r>
              <w:rPr>
                <w:rFonts w:ascii="Calibri" w:hAnsi="Calibri"/>
                <w:b w:val="0"/>
                <w:color w:val="26343D"/>
                <w:sz w:val="17"/>
              </w:rPr>
              <w:t>Date/time</w:t>
            </w:r>
          </w:p>
        </w:tc>
        <w:tc>
          <w:tcPr>
            <w:tcW w:type="dxa" w:w="7488"/>
            <w:vAlign w:val="top"/>
            <w:shd w:fill="F6F8F9"/>
          </w:tcPr>
          <w:p>
            <w:r/>
            <w:r>
              <w:rPr>
                <w:rFonts w:ascii="Calibri" w:hAnsi="Calibri"/>
                <w:b w:val="0"/>
                <w:color w:val="26343D"/>
                <w:sz w:val="17"/>
              </w:rPr>
              <w:t>21 Jul 2026 18:49 AEST</w:t>
            </w:r>
          </w:p>
        </w:tc>
      </w:tr>
      <w:tr>
        <w:tc>
          <w:tcPr>
            <w:tcW w:type="dxa" w:w="1872"/>
            <w:vAlign w:val="top"/>
            <w:shd w:fill="FFFFFF"/>
          </w:tcPr>
          <w:p>
            <w:r/>
            <w:r>
              <w:rPr>
                <w:rFonts w:ascii="Calibri" w:hAnsi="Calibri"/>
                <w:b w:val="0"/>
                <w:color w:val="26343D"/>
                <w:sz w:val="17"/>
              </w:rPr>
              <w:t>From</w:t>
            </w:r>
          </w:p>
        </w:tc>
        <w:tc>
          <w:tcPr>
            <w:tcW w:type="dxa" w:w="7488"/>
            <w:vAlign w:val="top"/>
            <w:shd w:fill="FFFFFF"/>
          </w:tcPr>
          <w:p>
            <w:r/>
            <w:r>
              <w:rPr>
                <w:rFonts w:ascii="Calibri" w:hAnsi="Calibri"/>
                <w:b w:val="0"/>
                <w:color w:val="26343D"/>
                <w:sz w:val="17"/>
              </w:rPr>
              <w:t>Southern Cross Claims &lt;claims@example.invalid&gt;</w:t>
            </w:r>
          </w:p>
        </w:tc>
      </w:tr>
      <w:tr>
        <w:tc>
          <w:tcPr>
            <w:tcW w:type="dxa" w:w="1872"/>
            <w:vAlign w:val="top"/>
            <w:shd w:fill="F6F8F9"/>
          </w:tcPr>
          <w:p>
            <w:r/>
            <w:r>
              <w:rPr>
                <w:rFonts w:ascii="Calibri" w:hAnsi="Calibri"/>
                <w:b w:val="0"/>
                <w:color w:val="26343D"/>
                <w:sz w:val="17"/>
              </w:rPr>
              <w:t>To</w:t>
            </w:r>
          </w:p>
        </w:tc>
        <w:tc>
          <w:tcPr>
            <w:tcW w:type="dxa" w:w="7488"/>
            <w:vAlign w:val="top"/>
            <w:shd w:fill="F6F8F9"/>
          </w:tcPr>
          <w:p>
            <w:r/>
            <w:r>
              <w:rPr>
                <w:rFonts w:ascii="Calibri" w:hAnsi="Calibri"/>
                <w:b w:val="0"/>
                <w:color w:val="26343D"/>
                <w:sz w:val="17"/>
              </w:rPr>
              <w:t>Daniel Morgan</w:t>
            </w:r>
          </w:p>
        </w:tc>
      </w:tr>
      <w:tr>
        <w:tc>
          <w:tcPr>
            <w:tcW w:type="dxa" w:w="1872"/>
            <w:vAlign w:val="top"/>
            <w:shd w:fill="FFFFFF"/>
          </w:tcPr>
          <w:p>
            <w:r/>
            <w:r>
              <w:rPr>
                <w:rFonts w:ascii="Calibri" w:hAnsi="Calibri"/>
                <w:b w:val="0"/>
                <w:color w:val="26343D"/>
                <w:sz w:val="17"/>
              </w:rPr>
              <w:t>Subject</w:t>
            </w:r>
          </w:p>
        </w:tc>
        <w:tc>
          <w:tcPr>
            <w:tcW w:type="dxa" w:w="7488"/>
            <w:vAlign w:val="top"/>
            <w:shd w:fill="FFFFFF"/>
          </w:tcPr>
          <w:p>
            <w:r/>
            <w:r>
              <w:rPr>
                <w:rFonts w:ascii="Calibri" w:hAnsi="Calibri"/>
                <w:b w:val="0"/>
                <w:color w:val="26343D"/>
                <w:sz w:val="17"/>
              </w:rPr>
              <w:t>Automated acknowledgement</w:t>
            </w:r>
          </w:p>
        </w:tc>
      </w:tr>
    </w:tbl>
    <w:p/>
    <w:p>
      <w:r>
        <w:t>We have received claim CLM-2026-10001 for storm/water damage at 42 Example Crescent. Please retain damaged items and do not begin permanent repairs without approval.</w:t>
      </w:r>
    </w:p>
    <w:p>
      <w:pPr>
        <w:pStyle w:val="Heading1"/>
      </w:pPr>
      <w:r>
        <w:t>2. Initial evidence request</w:t>
      </w:r>
    </w:p>
    <w:tbl>
      <w:tblPr>
        <w:tblW w:type="auto" w:w="0"/>
        <w:jc w:val="center"/>
        <w:tblLayout w:type="fixed"/>
        <w:tblLook w:firstColumn="1" w:firstRow="1" w:lastColumn="0" w:lastRow="0" w:noHBand="0" w:noVBand="1" w:val="04A0"/>
      </w:tblPr>
      <w:tblGrid>
        <w:gridCol w:w="4680"/>
        <w:gridCol w:w="4680"/>
      </w:tblGrid>
      <w:tr>
        <w:tc>
          <w:tcPr>
            <w:tcW w:type="dxa" w:w="1872"/>
            <w:vAlign w:val="top"/>
            <w:shd w:fill="15324B"/>
          </w:tcPr>
          <w:p>
            <w:r/>
            <w:r>
              <w:rPr>
                <w:rFonts w:ascii="Calibri" w:hAnsi="Calibri"/>
                <w:b/>
                <w:color w:val="FFFFFF"/>
                <w:sz w:val="16"/>
              </w:rPr>
              <w:t>Field</w:t>
            </w:r>
          </w:p>
        </w:tc>
        <w:tc>
          <w:tcPr>
            <w:tcW w:type="dxa" w:w="7488"/>
            <w:vAlign w:val="top"/>
            <w:shd w:fill="15324B"/>
          </w:tcPr>
          <w:p>
            <w:r/>
            <w:r>
              <w:rPr>
                <w:rFonts w:ascii="Calibri" w:hAnsi="Calibri"/>
                <w:b/>
                <w:color w:val="FFFFFF"/>
                <w:sz w:val="16"/>
              </w:rPr>
              <w:t>Detail</w:t>
            </w:r>
          </w:p>
        </w:tc>
      </w:tr>
      <w:tr>
        <w:tc>
          <w:tcPr>
            <w:tcW w:type="dxa" w:w="1872"/>
            <w:vAlign w:val="top"/>
            <w:shd w:fill="F6F8F9"/>
          </w:tcPr>
          <w:p>
            <w:r/>
            <w:r>
              <w:rPr>
                <w:rFonts w:ascii="Calibri" w:hAnsi="Calibri"/>
                <w:b w:val="0"/>
                <w:color w:val="26343D"/>
                <w:sz w:val="17"/>
              </w:rPr>
              <w:t>Date/time</w:t>
            </w:r>
          </w:p>
        </w:tc>
        <w:tc>
          <w:tcPr>
            <w:tcW w:type="dxa" w:w="7488"/>
            <w:vAlign w:val="top"/>
            <w:shd w:fill="F6F8F9"/>
          </w:tcPr>
          <w:p>
            <w:r/>
            <w:r>
              <w:rPr>
                <w:rFonts w:ascii="Calibri" w:hAnsi="Calibri"/>
                <w:b w:val="0"/>
                <w:color w:val="26343D"/>
                <w:sz w:val="17"/>
              </w:rPr>
              <w:t>22 Jul 2026 09:12 AEST</w:t>
            </w:r>
          </w:p>
        </w:tc>
      </w:tr>
      <w:tr>
        <w:tc>
          <w:tcPr>
            <w:tcW w:type="dxa" w:w="1872"/>
            <w:vAlign w:val="top"/>
            <w:shd w:fill="FFFFFF"/>
          </w:tcPr>
          <w:p>
            <w:r/>
            <w:r>
              <w:rPr>
                <w:rFonts w:ascii="Calibri" w:hAnsi="Calibri"/>
                <w:b w:val="0"/>
                <w:color w:val="26343D"/>
                <w:sz w:val="17"/>
              </w:rPr>
              <w:t>From</w:t>
            </w:r>
          </w:p>
        </w:tc>
        <w:tc>
          <w:tcPr>
            <w:tcW w:type="dxa" w:w="7488"/>
            <w:vAlign w:val="top"/>
            <w:shd w:fill="FFFFFF"/>
          </w:tcPr>
          <w:p>
            <w:r/>
            <w:r>
              <w:rPr>
                <w:rFonts w:ascii="Calibri" w:hAnsi="Calibri"/>
                <w:b w:val="0"/>
                <w:color w:val="26343D"/>
                <w:sz w:val="17"/>
              </w:rPr>
              <w:t>Priya Nair, Claims Consultant (fictional)</w:t>
            </w:r>
          </w:p>
        </w:tc>
      </w:tr>
      <w:tr>
        <w:tc>
          <w:tcPr>
            <w:tcW w:type="dxa" w:w="1872"/>
            <w:vAlign w:val="top"/>
            <w:shd w:fill="F6F8F9"/>
          </w:tcPr>
          <w:p>
            <w:r/>
            <w:r>
              <w:rPr>
                <w:rFonts w:ascii="Calibri" w:hAnsi="Calibri"/>
                <w:b w:val="0"/>
                <w:color w:val="26343D"/>
                <w:sz w:val="17"/>
              </w:rPr>
              <w:t>To</w:t>
            </w:r>
          </w:p>
        </w:tc>
        <w:tc>
          <w:tcPr>
            <w:tcW w:type="dxa" w:w="7488"/>
            <w:vAlign w:val="top"/>
            <w:shd w:fill="F6F8F9"/>
          </w:tcPr>
          <w:p>
            <w:r/>
            <w:r>
              <w:rPr>
                <w:rFonts w:ascii="Calibri" w:hAnsi="Calibri"/>
                <w:b w:val="0"/>
                <w:color w:val="26343D"/>
                <w:sz w:val="17"/>
              </w:rPr>
              <w:t>Daniel Morgan</w:t>
            </w:r>
          </w:p>
        </w:tc>
      </w:tr>
      <w:tr>
        <w:tc>
          <w:tcPr>
            <w:tcW w:type="dxa" w:w="1872"/>
            <w:vAlign w:val="top"/>
            <w:shd w:fill="FFFFFF"/>
          </w:tcPr>
          <w:p>
            <w:r/>
            <w:r>
              <w:rPr>
                <w:rFonts w:ascii="Calibri" w:hAnsi="Calibri"/>
                <w:b w:val="0"/>
                <w:color w:val="26343D"/>
                <w:sz w:val="17"/>
              </w:rPr>
              <w:t>Subject</w:t>
            </w:r>
          </w:p>
        </w:tc>
        <w:tc>
          <w:tcPr>
            <w:tcW w:type="dxa" w:w="7488"/>
            <w:vAlign w:val="top"/>
            <w:shd w:fill="FFFFFF"/>
          </w:tcPr>
          <w:p>
            <w:r/>
            <w:r>
              <w:rPr>
                <w:rFonts w:ascii="Calibri" w:hAnsi="Calibri"/>
                <w:b w:val="0"/>
                <w:color w:val="26343D"/>
                <w:sz w:val="17"/>
              </w:rPr>
              <w:t>Initial evidence request</w:t>
            </w:r>
          </w:p>
        </w:tc>
      </w:tr>
    </w:tbl>
    <w:p/>
    <w:p>
      <w:r>
        <w:t>Please provide your written statement, purchase evidence for the television, media console and rug, and any roof maintenance invoices from the past three years. Harper Lane Adjusting Services will contact you to arrange inspection.</w:t>
      </w:r>
    </w:p>
    <w:p>
      <w:pPr>
        <w:pStyle w:val="Heading1"/>
      </w:pPr>
      <w:r>
        <w:t>3. Evidence supplied</w:t>
      </w:r>
    </w:p>
    <w:tbl>
      <w:tblPr>
        <w:tblW w:type="auto" w:w="0"/>
        <w:jc w:val="center"/>
        <w:tblLayout w:type="fixed"/>
        <w:tblLook w:firstColumn="1" w:firstRow="1" w:lastColumn="0" w:lastRow="0" w:noHBand="0" w:noVBand="1" w:val="04A0"/>
      </w:tblPr>
      <w:tblGrid>
        <w:gridCol w:w="4680"/>
        <w:gridCol w:w="4680"/>
      </w:tblGrid>
      <w:tr>
        <w:tc>
          <w:tcPr>
            <w:tcW w:type="dxa" w:w="1872"/>
            <w:vAlign w:val="top"/>
            <w:shd w:fill="15324B"/>
          </w:tcPr>
          <w:p>
            <w:r/>
            <w:r>
              <w:rPr>
                <w:rFonts w:ascii="Calibri" w:hAnsi="Calibri"/>
                <w:b/>
                <w:color w:val="FFFFFF"/>
                <w:sz w:val="16"/>
              </w:rPr>
              <w:t>Field</w:t>
            </w:r>
          </w:p>
        </w:tc>
        <w:tc>
          <w:tcPr>
            <w:tcW w:type="dxa" w:w="7488"/>
            <w:vAlign w:val="top"/>
            <w:shd w:fill="15324B"/>
          </w:tcPr>
          <w:p>
            <w:r/>
            <w:r>
              <w:rPr>
                <w:rFonts w:ascii="Calibri" w:hAnsi="Calibri"/>
                <w:b/>
                <w:color w:val="FFFFFF"/>
                <w:sz w:val="16"/>
              </w:rPr>
              <w:t>Detail</w:t>
            </w:r>
          </w:p>
        </w:tc>
      </w:tr>
      <w:tr>
        <w:tc>
          <w:tcPr>
            <w:tcW w:type="dxa" w:w="1872"/>
            <w:vAlign w:val="top"/>
            <w:shd w:fill="F6F8F9"/>
          </w:tcPr>
          <w:p>
            <w:r/>
            <w:r>
              <w:rPr>
                <w:rFonts w:ascii="Calibri" w:hAnsi="Calibri"/>
                <w:b w:val="0"/>
                <w:color w:val="26343D"/>
                <w:sz w:val="17"/>
              </w:rPr>
              <w:t>Date/time</w:t>
            </w:r>
          </w:p>
        </w:tc>
        <w:tc>
          <w:tcPr>
            <w:tcW w:type="dxa" w:w="7488"/>
            <w:vAlign w:val="top"/>
            <w:shd w:fill="F6F8F9"/>
          </w:tcPr>
          <w:p>
            <w:r/>
            <w:r>
              <w:rPr>
                <w:rFonts w:ascii="Calibri" w:hAnsi="Calibri"/>
                <w:b w:val="0"/>
                <w:color w:val="26343D"/>
                <w:sz w:val="17"/>
              </w:rPr>
              <w:t>22 Jul 2026 14:37 AEST</w:t>
            </w:r>
          </w:p>
        </w:tc>
      </w:tr>
      <w:tr>
        <w:tc>
          <w:tcPr>
            <w:tcW w:type="dxa" w:w="1872"/>
            <w:vAlign w:val="top"/>
            <w:shd w:fill="FFFFFF"/>
          </w:tcPr>
          <w:p>
            <w:r/>
            <w:r>
              <w:rPr>
                <w:rFonts w:ascii="Calibri" w:hAnsi="Calibri"/>
                <w:b w:val="0"/>
                <w:color w:val="26343D"/>
                <w:sz w:val="17"/>
              </w:rPr>
              <w:t>From</w:t>
            </w:r>
          </w:p>
        </w:tc>
        <w:tc>
          <w:tcPr>
            <w:tcW w:type="dxa" w:w="7488"/>
            <w:vAlign w:val="top"/>
            <w:shd w:fill="FFFFFF"/>
          </w:tcPr>
          <w:p>
            <w:r/>
            <w:r>
              <w:rPr>
                <w:rFonts w:ascii="Calibri" w:hAnsi="Calibri"/>
                <w:b w:val="0"/>
                <w:color w:val="26343D"/>
                <w:sz w:val="17"/>
              </w:rPr>
              <w:t>Daniel Morgan</w:t>
            </w:r>
          </w:p>
        </w:tc>
      </w:tr>
      <w:tr>
        <w:tc>
          <w:tcPr>
            <w:tcW w:type="dxa" w:w="1872"/>
            <w:vAlign w:val="top"/>
            <w:shd w:fill="F6F8F9"/>
          </w:tcPr>
          <w:p>
            <w:r/>
            <w:r>
              <w:rPr>
                <w:rFonts w:ascii="Calibri" w:hAnsi="Calibri"/>
                <w:b w:val="0"/>
                <w:color w:val="26343D"/>
                <w:sz w:val="17"/>
              </w:rPr>
              <w:t>To</w:t>
            </w:r>
          </w:p>
        </w:tc>
        <w:tc>
          <w:tcPr>
            <w:tcW w:type="dxa" w:w="7488"/>
            <w:vAlign w:val="top"/>
            <w:shd w:fill="F6F8F9"/>
          </w:tcPr>
          <w:p>
            <w:r/>
            <w:r>
              <w:rPr>
                <w:rFonts w:ascii="Calibri" w:hAnsi="Calibri"/>
                <w:b w:val="0"/>
                <w:color w:val="26343D"/>
                <w:sz w:val="17"/>
              </w:rPr>
              <w:t>Priya Nair</w:t>
            </w:r>
          </w:p>
        </w:tc>
      </w:tr>
      <w:tr>
        <w:tc>
          <w:tcPr>
            <w:tcW w:type="dxa" w:w="1872"/>
            <w:vAlign w:val="top"/>
            <w:shd w:fill="FFFFFF"/>
          </w:tcPr>
          <w:p>
            <w:r/>
            <w:r>
              <w:rPr>
                <w:rFonts w:ascii="Calibri" w:hAnsi="Calibri"/>
                <w:b w:val="0"/>
                <w:color w:val="26343D"/>
                <w:sz w:val="17"/>
              </w:rPr>
              <w:t>Subject</w:t>
            </w:r>
          </w:p>
        </w:tc>
        <w:tc>
          <w:tcPr>
            <w:tcW w:type="dxa" w:w="7488"/>
            <w:vAlign w:val="top"/>
            <w:shd w:fill="FFFFFF"/>
          </w:tcPr>
          <w:p>
            <w:r/>
            <w:r>
              <w:rPr>
                <w:rFonts w:ascii="Calibri" w:hAnsi="Calibri"/>
                <w:b w:val="0"/>
                <w:color w:val="26343D"/>
                <w:sz w:val="17"/>
              </w:rPr>
              <w:t>Evidence supplied</w:t>
            </w:r>
          </w:p>
        </w:tc>
      </w:tr>
    </w:tbl>
    <w:p/>
    <w:p>
      <w:r>
        <w:t>Attached are the receipts I could locate. The television receipt shows AUD 4,899, but I estimate AUD 7,500 for a current equivalent. I cleaned the gutters myself in May and do not have an invoice.</w:t>
      </w:r>
    </w:p>
    <w:p>
      <w:pPr>
        <w:pStyle w:val="IntenseQuote"/>
      </w:pPr>
      <w:r>
        <w:t>Dataset note: this message contains evidence relevant to a controlled cross-document inconsistency.</w:t>
      </w:r>
    </w:p>
    <w:p>
      <w:pPr>
        <w:pStyle w:val="Heading1"/>
      </w:pPr>
      <w:r>
        <w:t>4. Inspection completed</w:t>
      </w:r>
    </w:p>
    <w:tbl>
      <w:tblPr>
        <w:tblW w:type="auto" w:w="0"/>
        <w:jc w:val="center"/>
        <w:tblLayout w:type="fixed"/>
        <w:tblLook w:firstColumn="1" w:firstRow="1" w:lastColumn="0" w:lastRow="0" w:noHBand="0" w:noVBand="1" w:val="04A0"/>
      </w:tblPr>
      <w:tblGrid>
        <w:gridCol w:w="4680"/>
        <w:gridCol w:w="4680"/>
      </w:tblGrid>
      <w:tr>
        <w:tc>
          <w:tcPr>
            <w:tcW w:type="dxa" w:w="1872"/>
            <w:vAlign w:val="top"/>
            <w:shd w:fill="15324B"/>
          </w:tcPr>
          <w:p>
            <w:r/>
            <w:r>
              <w:rPr>
                <w:rFonts w:ascii="Calibri" w:hAnsi="Calibri"/>
                <w:b/>
                <w:color w:val="FFFFFF"/>
                <w:sz w:val="16"/>
              </w:rPr>
              <w:t>Field</w:t>
            </w:r>
          </w:p>
        </w:tc>
        <w:tc>
          <w:tcPr>
            <w:tcW w:type="dxa" w:w="7488"/>
            <w:vAlign w:val="top"/>
            <w:shd w:fill="15324B"/>
          </w:tcPr>
          <w:p>
            <w:r/>
            <w:r>
              <w:rPr>
                <w:rFonts w:ascii="Calibri" w:hAnsi="Calibri"/>
                <w:b/>
                <w:color w:val="FFFFFF"/>
                <w:sz w:val="16"/>
              </w:rPr>
              <w:t>Detail</w:t>
            </w:r>
          </w:p>
        </w:tc>
      </w:tr>
      <w:tr>
        <w:tc>
          <w:tcPr>
            <w:tcW w:type="dxa" w:w="1872"/>
            <w:vAlign w:val="top"/>
            <w:shd w:fill="F6F8F9"/>
          </w:tcPr>
          <w:p>
            <w:r/>
            <w:r>
              <w:rPr>
                <w:rFonts w:ascii="Calibri" w:hAnsi="Calibri"/>
                <w:b w:val="0"/>
                <w:color w:val="26343D"/>
                <w:sz w:val="17"/>
              </w:rPr>
              <w:t>Date/time</w:t>
            </w:r>
          </w:p>
        </w:tc>
        <w:tc>
          <w:tcPr>
            <w:tcW w:type="dxa" w:w="7488"/>
            <w:vAlign w:val="top"/>
            <w:shd w:fill="F6F8F9"/>
          </w:tcPr>
          <w:p>
            <w:r/>
            <w:r>
              <w:rPr>
                <w:rFonts w:ascii="Calibri" w:hAnsi="Calibri"/>
                <w:b w:val="0"/>
                <w:color w:val="26343D"/>
                <w:sz w:val="17"/>
              </w:rPr>
              <w:t>25 Jul 2026 11:06 AEST</w:t>
            </w:r>
          </w:p>
        </w:tc>
      </w:tr>
      <w:tr>
        <w:tc>
          <w:tcPr>
            <w:tcW w:type="dxa" w:w="1872"/>
            <w:vAlign w:val="top"/>
            <w:shd w:fill="FFFFFF"/>
          </w:tcPr>
          <w:p>
            <w:r/>
            <w:r>
              <w:rPr>
                <w:rFonts w:ascii="Calibri" w:hAnsi="Calibri"/>
                <w:b w:val="0"/>
                <w:color w:val="26343D"/>
                <w:sz w:val="17"/>
              </w:rPr>
              <w:t>From</w:t>
            </w:r>
          </w:p>
        </w:tc>
        <w:tc>
          <w:tcPr>
            <w:tcW w:type="dxa" w:w="7488"/>
            <w:vAlign w:val="top"/>
            <w:shd w:fill="FFFFFF"/>
          </w:tcPr>
          <w:p>
            <w:r/>
            <w:r>
              <w:rPr>
                <w:rFonts w:ascii="Calibri" w:hAnsi="Calibri"/>
                <w:b w:val="0"/>
                <w:color w:val="26343D"/>
                <w:sz w:val="17"/>
              </w:rPr>
              <w:t>Evelyn Hart, Loss Adjuster</w:t>
            </w:r>
          </w:p>
        </w:tc>
      </w:tr>
      <w:tr>
        <w:tc>
          <w:tcPr>
            <w:tcW w:type="dxa" w:w="1872"/>
            <w:vAlign w:val="top"/>
            <w:shd w:fill="F6F8F9"/>
          </w:tcPr>
          <w:p>
            <w:r/>
            <w:r>
              <w:rPr>
                <w:rFonts w:ascii="Calibri" w:hAnsi="Calibri"/>
                <w:b w:val="0"/>
                <w:color w:val="26343D"/>
                <w:sz w:val="17"/>
              </w:rPr>
              <w:t>To</w:t>
            </w:r>
          </w:p>
        </w:tc>
        <w:tc>
          <w:tcPr>
            <w:tcW w:type="dxa" w:w="7488"/>
            <w:vAlign w:val="top"/>
            <w:shd w:fill="F6F8F9"/>
          </w:tcPr>
          <w:p>
            <w:r/>
            <w:r>
              <w:rPr>
                <w:rFonts w:ascii="Calibri" w:hAnsi="Calibri"/>
                <w:b w:val="0"/>
                <w:color w:val="26343D"/>
                <w:sz w:val="17"/>
              </w:rPr>
              <w:t>Priya Nair</w:t>
            </w:r>
          </w:p>
        </w:tc>
      </w:tr>
      <w:tr>
        <w:tc>
          <w:tcPr>
            <w:tcW w:type="dxa" w:w="1872"/>
            <w:vAlign w:val="top"/>
            <w:shd w:fill="FFFFFF"/>
          </w:tcPr>
          <w:p>
            <w:r/>
            <w:r>
              <w:rPr>
                <w:rFonts w:ascii="Calibri" w:hAnsi="Calibri"/>
                <w:b w:val="0"/>
                <w:color w:val="26343D"/>
                <w:sz w:val="17"/>
              </w:rPr>
              <w:t>Subject</w:t>
            </w:r>
          </w:p>
        </w:tc>
        <w:tc>
          <w:tcPr>
            <w:tcW w:type="dxa" w:w="7488"/>
            <w:vAlign w:val="top"/>
            <w:shd w:fill="FFFFFF"/>
          </w:tcPr>
          <w:p>
            <w:r/>
            <w:r>
              <w:rPr>
                <w:rFonts w:ascii="Calibri" w:hAnsi="Calibri"/>
                <w:b w:val="0"/>
                <w:color w:val="26343D"/>
                <w:sz w:val="17"/>
              </w:rPr>
              <w:t>Inspection completed</w:t>
            </w:r>
          </w:p>
        </w:tc>
      </w:tr>
    </w:tbl>
    <w:p/>
    <w:p>
      <w:r>
        <w:t>Inspection occurred on 24 July. Initial view: recent tile displacement is consistent with storm; older sealant and debris at the valley may be maintenance-related. Please request the prior claims history.</w:t>
      </w:r>
    </w:p>
    <w:p>
      <w:pPr>
        <w:pStyle w:val="Heading1"/>
      </w:pPr>
      <w:r>
        <w:t>5. Repair quotation</w:t>
      </w:r>
    </w:p>
    <w:tbl>
      <w:tblPr>
        <w:tblW w:type="auto" w:w="0"/>
        <w:jc w:val="center"/>
        <w:tblLayout w:type="fixed"/>
        <w:tblLook w:firstColumn="1" w:firstRow="1" w:lastColumn="0" w:lastRow="0" w:noHBand="0" w:noVBand="1" w:val="04A0"/>
      </w:tblPr>
      <w:tblGrid>
        <w:gridCol w:w="4680"/>
        <w:gridCol w:w="4680"/>
      </w:tblGrid>
      <w:tr>
        <w:tc>
          <w:tcPr>
            <w:tcW w:type="dxa" w:w="1872"/>
            <w:vAlign w:val="top"/>
            <w:shd w:fill="15324B"/>
          </w:tcPr>
          <w:p>
            <w:r/>
            <w:r>
              <w:rPr>
                <w:rFonts w:ascii="Calibri" w:hAnsi="Calibri"/>
                <w:b/>
                <w:color w:val="FFFFFF"/>
                <w:sz w:val="16"/>
              </w:rPr>
              <w:t>Field</w:t>
            </w:r>
          </w:p>
        </w:tc>
        <w:tc>
          <w:tcPr>
            <w:tcW w:type="dxa" w:w="7488"/>
            <w:vAlign w:val="top"/>
            <w:shd w:fill="15324B"/>
          </w:tcPr>
          <w:p>
            <w:r/>
            <w:r>
              <w:rPr>
                <w:rFonts w:ascii="Calibri" w:hAnsi="Calibri"/>
                <w:b/>
                <w:color w:val="FFFFFF"/>
                <w:sz w:val="16"/>
              </w:rPr>
              <w:t>Detail</w:t>
            </w:r>
          </w:p>
        </w:tc>
      </w:tr>
      <w:tr>
        <w:tc>
          <w:tcPr>
            <w:tcW w:type="dxa" w:w="1872"/>
            <w:vAlign w:val="top"/>
            <w:shd w:fill="F6F8F9"/>
          </w:tcPr>
          <w:p>
            <w:r/>
            <w:r>
              <w:rPr>
                <w:rFonts w:ascii="Calibri" w:hAnsi="Calibri"/>
                <w:b w:val="0"/>
                <w:color w:val="26343D"/>
                <w:sz w:val="17"/>
              </w:rPr>
              <w:t>Date/time</w:t>
            </w:r>
          </w:p>
        </w:tc>
        <w:tc>
          <w:tcPr>
            <w:tcW w:type="dxa" w:w="7488"/>
            <w:vAlign w:val="top"/>
            <w:shd w:fill="F6F8F9"/>
          </w:tcPr>
          <w:p>
            <w:r/>
            <w:r>
              <w:rPr>
                <w:rFonts w:ascii="Calibri" w:hAnsi="Calibri"/>
                <w:b w:val="0"/>
                <w:color w:val="26343D"/>
                <w:sz w:val="17"/>
              </w:rPr>
              <w:t>28 Jul 2026 16:22 AEST</w:t>
            </w:r>
          </w:p>
        </w:tc>
      </w:tr>
      <w:tr>
        <w:tc>
          <w:tcPr>
            <w:tcW w:type="dxa" w:w="1872"/>
            <w:vAlign w:val="top"/>
            <w:shd w:fill="FFFFFF"/>
          </w:tcPr>
          <w:p>
            <w:r/>
            <w:r>
              <w:rPr>
                <w:rFonts w:ascii="Calibri" w:hAnsi="Calibri"/>
                <w:b w:val="0"/>
                <w:color w:val="26343D"/>
                <w:sz w:val="17"/>
              </w:rPr>
              <w:t>From</w:t>
            </w:r>
          </w:p>
        </w:tc>
        <w:tc>
          <w:tcPr>
            <w:tcW w:type="dxa" w:w="7488"/>
            <w:vAlign w:val="top"/>
            <w:shd w:fill="FFFFFF"/>
          </w:tcPr>
          <w:p>
            <w:r/>
            <w:r>
              <w:rPr>
                <w:rFonts w:ascii="Calibri" w:hAnsi="Calibri"/>
                <w:b w:val="0"/>
                <w:color w:val="26343D"/>
                <w:sz w:val="17"/>
              </w:rPr>
              <w:t>Noah Bennett, ABC Restorations</w:t>
            </w:r>
          </w:p>
        </w:tc>
      </w:tr>
      <w:tr>
        <w:tc>
          <w:tcPr>
            <w:tcW w:type="dxa" w:w="1872"/>
            <w:vAlign w:val="top"/>
            <w:shd w:fill="F6F8F9"/>
          </w:tcPr>
          <w:p>
            <w:r/>
            <w:r>
              <w:rPr>
                <w:rFonts w:ascii="Calibri" w:hAnsi="Calibri"/>
                <w:b w:val="0"/>
                <w:color w:val="26343D"/>
                <w:sz w:val="17"/>
              </w:rPr>
              <w:t>To</w:t>
            </w:r>
          </w:p>
        </w:tc>
        <w:tc>
          <w:tcPr>
            <w:tcW w:type="dxa" w:w="7488"/>
            <w:vAlign w:val="top"/>
            <w:shd w:fill="F6F8F9"/>
          </w:tcPr>
          <w:p>
            <w:r/>
            <w:r>
              <w:rPr>
                <w:rFonts w:ascii="Calibri" w:hAnsi="Calibri"/>
                <w:b w:val="0"/>
                <w:color w:val="26343D"/>
                <w:sz w:val="17"/>
              </w:rPr>
              <w:t>Priya Nair; Daniel Morgan</w:t>
            </w:r>
          </w:p>
        </w:tc>
      </w:tr>
      <w:tr>
        <w:tc>
          <w:tcPr>
            <w:tcW w:type="dxa" w:w="1872"/>
            <w:vAlign w:val="top"/>
            <w:shd w:fill="FFFFFF"/>
          </w:tcPr>
          <w:p>
            <w:r/>
            <w:r>
              <w:rPr>
                <w:rFonts w:ascii="Calibri" w:hAnsi="Calibri"/>
                <w:b w:val="0"/>
                <w:color w:val="26343D"/>
                <w:sz w:val="17"/>
              </w:rPr>
              <w:t>Subject</w:t>
            </w:r>
          </w:p>
        </w:tc>
        <w:tc>
          <w:tcPr>
            <w:tcW w:type="dxa" w:w="7488"/>
            <w:vAlign w:val="top"/>
            <w:shd w:fill="FFFFFF"/>
          </w:tcPr>
          <w:p>
            <w:r/>
            <w:r>
              <w:rPr>
                <w:rFonts w:ascii="Calibri" w:hAnsi="Calibri"/>
                <w:b w:val="0"/>
                <w:color w:val="26343D"/>
                <w:sz w:val="17"/>
              </w:rPr>
              <w:t>Repair quotation</w:t>
            </w:r>
          </w:p>
        </w:tc>
      </w:tr>
    </w:tbl>
    <w:p/>
    <w:p>
      <w:r>
        <w:t>Quote ABCR-Q-260728-17 totals AUD 38,750 including GST. Full rear-valley renewal is included so we can provide a practical warranty. Coverage allocation remains the insurer’s decision.</w:t>
      </w:r>
    </w:p>
    <w:p>
      <w:pPr>
        <w:pStyle w:val="Heading1"/>
      </w:pPr>
      <w:r>
        <w:t>6. Prior claim clarification request</w:t>
      </w:r>
    </w:p>
    <w:tbl>
      <w:tblPr>
        <w:tblW w:type="auto" w:w="0"/>
        <w:jc w:val="center"/>
        <w:tblLayout w:type="fixed"/>
        <w:tblLook w:firstColumn="1" w:firstRow="1" w:lastColumn="0" w:lastRow="0" w:noHBand="0" w:noVBand="1" w:val="04A0"/>
      </w:tblPr>
      <w:tblGrid>
        <w:gridCol w:w="4680"/>
        <w:gridCol w:w="4680"/>
      </w:tblGrid>
      <w:tr>
        <w:tc>
          <w:tcPr>
            <w:tcW w:type="dxa" w:w="1872"/>
            <w:vAlign w:val="top"/>
            <w:shd w:fill="15324B"/>
          </w:tcPr>
          <w:p>
            <w:r/>
            <w:r>
              <w:rPr>
                <w:rFonts w:ascii="Calibri" w:hAnsi="Calibri"/>
                <w:b/>
                <w:color w:val="FFFFFF"/>
                <w:sz w:val="16"/>
              </w:rPr>
              <w:t>Field</w:t>
            </w:r>
          </w:p>
        </w:tc>
        <w:tc>
          <w:tcPr>
            <w:tcW w:type="dxa" w:w="7488"/>
            <w:vAlign w:val="top"/>
            <w:shd w:fill="15324B"/>
          </w:tcPr>
          <w:p>
            <w:r/>
            <w:r>
              <w:rPr>
                <w:rFonts w:ascii="Calibri" w:hAnsi="Calibri"/>
                <w:b/>
                <w:color w:val="FFFFFF"/>
                <w:sz w:val="16"/>
              </w:rPr>
              <w:t>Detail</w:t>
            </w:r>
          </w:p>
        </w:tc>
      </w:tr>
      <w:tr>
        <w:tc>
          <w:tcPr>
            <w:tcW w:type="dxa" w:w="1872"/>
            <w:vAlign w:val="top"/>
            <w:shd w:fill="F6F8F9"/>
          </w:tcPr>
          <w:p>
            <w:r/>
            <w:r>
              <w:rPr>
                <w:rFonts w:ascii="Calibri" w:hAnsi="Calibri"/>
                <w:b w:val="0"/>
                <w:color w:val="26343D"/>
                <w:sz w:val="17"/>
              </w:rPr>
              <w:t>Date/time</w:t>
            </w:r>
          </w:p>
        </w:tc>
        <w:tc>
          <w:tcPr>
            <w:tcW w:type="dxa" w:w="7488"/>
            <w:vAlign w:val="top"/>
            <w:shd w:fill="F6F8F9"/>
          </w:tcPr>
          <w:p>
            <w:r/>
            <w:r>
              <w:rPr>
                <w:rFonts w:ascii="Calibri" w:hAnsi="Calibri"/>
                <w:b w:val="0"/>
                <w:color w:val="26343D"/>
                <w:sz w:val="17"/>
              </w:rPr>
              <w:t>30 Jul 2026 10:03 AEST</w:t>
            </w:r>
          </w:p>
        </w:tc>
      </w:tr>
      <w:tr>
        <w:tc>
          <w:tcPr>
            <w:tcW w:type="dxa" w:w="1872"/>
            <w:vAlign w:val="top"/>
            <w:shd w:fill="FFFFFF"/>
          </w:tcPr>
          <w:p>
            <w:r/>
            <w:r>
              <w:rPr>
                <w:rFonts w:ascii="Calibri" w:hAnsi="Calibri"/>
                <w:b w:val="0"/>
                <w:color w:val="26343D"/>
                <w:sz w:val="17"/>
              </w:rPr>
              <w:t>From</w:t>
            </w:r>
          </w:p>
        </w:tc>
        <w:tc>
          <w:tcPr>
            <w:tcW w:type="dxa" w:w="7488"/>
            <w:vAlign w:val="top"/>
            <w:shd w:fill="FFFFFF"/>
          </w:tcPr>
          <w:p>
            <w:r/>
            <w:r>
              <w:rPr>
                <w:rFonts w:ascii="Calibri" w:hAnsi="Calibri"/>
                <w:b w:val="0"/>
                <w:color w:val="26343D"/>
                <w:sz w:val="17"/>
              </w:rPr>
              <w:t>Priya Nair</w:t>
            </w:r>
          </w:p>
        </w:tc>
      </w:tr>
      <w:tr>
        <w:tc>
          <w:tcPr>
            <w:tcW w:type="dxa" w:w="1872"/>
            <w:vAlign w:val="top"/>
            <w:shd w:fill="F6F8F9"/>
          </w:tcPr>
          <w:p>
            <w:r/>
            <w:r>
              <w:rPr>
                <w:rFonts w:ascii="Calibri" w:hAnsi="Calibri"/>
                <w:b w:val="0"/>
                <w:color w:val="26343D"/>
                <w:sz w:val="17"/>
              </w:rPr>
              <w:t>To</w:t>
            </w:r>
          </w:p>
        </w:tc>
        <w:tc>
          <w:tcPr>
            <w:tcW w:type="dxa" w:w="7488"/>
            <w:vAlign w:val="top"/>
            <w:shd w:fill="F6F8F9"/>
          </w:tcPr>
          <w:p>
            <w:r/>
            <w:r>
              <w:rPr>
                <w:rFonts w:ascii="Calibri" w:hAnsi="Calibri"/>
                <w:b w:val="0"/>
                <w:color w:val="26343D"/>
                <w:sz w:val="17"/>
              </w:rPr>
              <w:t>Daniel Morgan</w:t>
            </w:r>
          </w:p>
        </w:tc>
      </w:tr>
      <w:tr>
        <w:tc>
          <w:tcPr>
            <w:tcW w:type="dxa" w:w="1872"/>
            <w:vAlign w:val="top"/>
            <w:shd w:fill="FFFFFF"/>
          </w:tcPr>
          <w:p>
            <w:r/>
            <w:r>
              <w:rPr>
                <w:rFonts w:ascii="Calibri" w:hAnsi="Calibri"/>
                <w:b w:val="0"/>
                <w:color w:val="26343D"/>
                <w:sz w:val="17"/>
              </w:rPr>
              <w:t>Subject</w:t>
            </w:r>
          </w:p>
        </w:tc>
        <w:tc>
          <w:tcPr>
            <w:tcW w:type="dxa" w:w="7488"/>
            <w:vAlign w:val="top"/>
            <w:shd w:fill="FFFFFF"/>
          </w:tcPr>
          <w:p>
            <w:r/>
            <w:r>
              <w:rPr>
                <w:rFonts w:ascii="Calibri" w:hAnsi="Calibri"/>
                <w:b w:val="0"/>
                <w:color w:val="26343D"/>
                <w:sz w:val="17"/>
              </w:rPr>
              <w:t>Prior claim clarification request</w:t>
            </w:r>
          </w:p>
        </w:tc>
      </w:tr>
    </w:tbl>
    <w:p/>
    <w:p>
      <w:r>
        <w:t>Our records show a 3 June 2024 minor roof-leak claim near the family-room cornice, paid at AUD 1,180. Your current form says no previous roof leak. Please explain the difference; no adverse conclusion has been reached.</w:t>
      </w:r>
    </w:p>
    <w:p>
      <w:pPr>
        <w:pStyle w:val="IntenseQuote"/>
      </w:pPr>
      <w:r>
        <w:t>Dataset note: this message contains evidence relevant to a controlled cross-document inconsistency.</w:t>
      </w:r>
    </w:p>
    <w:p>
      <w:pPr>
        <w:pStyle w:val="Heading1"/>
      </w:pPr>
      <w:r>
        <w:t>7. Response on prior claim</w:t>
      </w:r>
    </w:p>
    <w:tbl>
      <w:tblPr>
        <w:tblW w:type="auto" w:w="0"/>
        <w:jc w:val="center"/>
        <w:tblLayout w:type="fixed"/>
        <w:tblLook w:firstColumn="1" w:firstRow="1" w:lastColumn="0" w:lastRow="0" w:noHBand="0" w:noVBand="1" w:val="04A0"/>
      </w:tblPr>
      <w:tblGrid>
        <w:gridCol w:w="4680"/>
        <w:gridCol w:w="4680"/>
      </w:tblGrid>
      <w:tr>
        <w:tc>
          <w:tcPr>
            <w:tcW w:type="dxa" w:w="1872"/>
            <w:vAlign w:val="top"/>
            <w:shd w:fill="15324B"/>
          </w:tcPr>
          <w:p>
            <w:r/>
            <w:r>
              <w:rPr>
                <w:rFonts w:ascii="Calibri" w:hAnsi="Calibri"/>
                <w:b/>
                <w:color w:val="FFFFFF"/>
                <w:sz w:val="16"/>
              </w:rPr>
              <w:t>Field</w:t>
            </w:r>
          </w:p>
        </w:tc>
        <w:tc>
          <w:tcPr>
            <w:tcW w:type="dxa" w:w="7488"/>
            <w:vAlign w:val="top"/>
            <w:shd w:fill="15324B"/>
          </w:tcPr>
          <w:p>
            <w:r/>
            <w:r>
              <w:rPr>
                <w:rFonts w:ascii="Calibri" w:hAnsi="Calibri"/>
                <w:b/>
                <w:color w:val="FFFFFF"/>
                <w:sz w:val="16"/>
              </w:rPr>
              <w:t>Detail</w:t>
            </w:r>
          </w:p>
        </w:tc>
      </w:tr>
      <w:tr>
        <w:tc>
          <w:tcPr>
            <w:tcW w:type="dxa" w:w="1872"/>
            <w:vAlign w:val="top"/>
            <w:shd w:fill="F6F8F9"/>
          </w:tcPr>
          <w:p>
            <w:r/>
            <w:r>
              <w:rPr>
                <w:rFonts w:ascii="Calibri" w:hAnsi="Calibri"/>
                <w:b w:val="0"/>
                <w:color w:val="26343D"/>
                <w:sz w:val="17"/>
              </w:rPr>
              <w:t>Date/time</w:t>
            </w:r>
          </w:p>
        </w:tc>
        <w:tc>
          <w:tcPr>
            <w:tcW w:type="dxa" w:w="7488"/>
            <w:vAlign w:val="top"/>
            <w:shd w:fill="F6F8F9"/>
          </w:tcPr>
          <w:p>
            <w:r/>
            <w:r>
              <w:rPr>
                <w:rFonts w:ascii="Calibri" w:hAnsi="Calibri"/>
                <w:b w:val="0"/>
                <w:color w:val="26343D"/>
                <w:sz w:val="17"/>
              </w:rPr>
              <w:t>30 Jul 2026 12:41 AEST</w:t>
            </w:r>
          </w:p>
        </w:tc>
      </w:tr>
      <w:tr>
        <w:tc>
          <w:tcPr>
            <w:tcW w:type="dxa" w:w="1872"/>
            <w:vAlign w:val="top"/>
            <w:shd w:fill="FFFFFF"/>
          </w:tcPr>
          <w:p>
            <w:r/>
            <w:r>
              <w:rPr>
                <w:rFonts w:ascii="Calibri" w:hAnsi="Calibri"/>
                <w:b w:val="0"/>
                <w:color w:val="26343D"/>
                <w:sz w:val="17"/>
              </w:rPr>
              <w:t>From</w:t>
            </w:r>
          </w:p>
        </w:tc>
        <w:tc>
          <w:tcPr>
            <w:tcW w:type="dxa" w:w="7488"/>
            <w:vAlign w:val="top"/>
            <w:shd w:fill="FFFFFF"/>
          </w:tcPr>
          <w:p>
            <w:r/>
            <w:r>
              <w:rPr>
                <w:rFonts w:ascii="Calibri" w:hAnsi="Calibri"/>
                <w:b w:val="0"/>
                <w:color w:val="26343D"/>
                <w:sz w:val="17"/>
              </w:rPr>
              <w:t>Daniel Morgan</w:t>
            </w:r>
          </w:p>
        </w:tc>
      </w:tr>
      <w:tr>
        <w:tc>
          <w:tcPr>
            <w:tcW w:type="dxa" w:w="1872"/>
            <w:vAlign w:val="top"/>
            <w:shd w:fill="F6F8F9"/>
          </w:tcPr>
          <w:p>
            <w:r/>
            <w:r>
              <w:rPr>
                <w:rFonts w:ascii="Calibri" w:hAnsi="Calibri"/>
                <w:b w:val="0"/>
                <w:color w:val="26343D"/>
                <w:sz w:val="17"/>
              </w:rPr>
              <w:t>To</w:t>
            </w:r>
          </w:p>
        </w:tc>
        <w:tc>
          <w:tcPr>
            <w:tcW w:type="dxa" w:w="7488"/>
            <w:vAlign w:val="top"/>
            <w:shd w:fill="F6F8F9"/>
          </w:tcPr>
          <w:p>
            <w:r/>
            <w:r>
              <w:rPr>
                <w:rFonts w:ascii="Calibri" w:hAnsi="Calibri"/>
                <w:b w:val="0"/>
                <w:color w:val="26343D"/>
                <w:sz w:val="17"/>
              </w:rPr>
              <w:t>Priya Nair</w:t>
            </w:r>
          </w:p>
        </w:tc>
      </w:tr>
      <w:tr>
        <w:tc>
          <w:tcPr>
            <w:tcW w:type="dxa" w:w="1872"/>
            <w:vAlign w:val="top"/>
            <w:shd w:fill="FFFFFF"/>
          </w:tcPr>
          <w:p>
            <w:r/>
            <w:r>
              <w:rPr>
                <w:rFonts w:ascii="Calibri" w:hAnsi="Calibri"/>
                <w:b w:val="0"/>
                <w:color w:val="26343D"/>
                <w:sz w:val="17"/>
              </w:rPr>
              <w:t>Subject</w:t>
            </w:r>
          </w:p>
        </w:tc>
        <w:tc>
          <w:tcPr>
            <w:tcW w:type="dxa" w:w="7488"/>
            <w:vAlign w:val="top"/>
            <w:shd w:fill="FFFFFF"/>
          </w:tcPr>
          <w:p>
            <w:r/>
            <w:r>
              <w:rPr>
                <w:rFonts w:ascii="Calibri" w:hAnsi="Calibri"/>
                <w:b w:val="0"/>
                <w:color w:val="26343D"/>
                <w:sz w:val="17"/>
              </w:rPr>
              <w:t>Response on prior claim</w:t>
            </w:r>
          </w:p>
        </w:tc>
      </w:tr>
    </w:tbl>
    <w:p/>
    <w:p>
      <w:r>
        <w:t>I remember staining and a small reseal but believed it was maintenance and had forgotten it was recorded as an insurance roof-leak claim. My form answer was based on my recollection, not an attempt to withhold information.</w:t>
      </w:r>
    </w:p>
    <w:p>
      <w:pPr>
        <w:pStyle w:val="Heading1"/>
      </w:pPr>
      <w:r>
        <w:t>8. Assessment update</w:t>
      </w:r>
    </w:p>
    <w:tbl>
      <w:tblPr>
        <w:tblW w:type="auto" w:w="0"/>
        <w:jc w:val="center"/>
        <w:tblLayout w:type="fixed"/>
        <w:tblLook w:firstColumn="1" w:firstRow="1" w:lastColumn="0" w:lastRow="0" w:noHBand="0" w:noVBand="1" w:val="04A0"/>
      </w:tblPr>
      <w:tblGrid>
        <w:gridCol w:w="4680"/>
        <w:gridCol w:w="4680"/>
      </w:tblGrid>
      <w:tr>
        <w:tc>
          <w:tcPr>
            <w:tcW w:type="dxa" w:w="1872"/>
            <w:vAlign w:val="top"/>
            <w:shd w:fill="15324B"/>
          </w:tcPr>
          <w:p>
            <w:r/>
            <w:r>
              <w:rPr>
                <w:rFonts w:ascii="Calibri" w:hAnsi="Calibri"/>
                <w:b/>
                <w:color w:val="FFFFFF"/>
                <w:sz w:val="16"/>
              </w:rPr>
              <w:t>Field</w:t>
            </w:r>
          </w:p>
        </w:tc>
        <w:tc>
          <w:tcPr>
            <w:tcW w:type="dxa" w:w="7488"/>
            <w:vAlign w:val="top"/>
            <w:shd w:fill="15324B"/>
          </w:tcPr>
          <w:p>
            <w:r/>
            <w:r>
              <w:rPr>
                <w:rFonts w:ascii="Calibri" w:hAnsi="Calibri"/>
                <w:b/>
                <w:color w:val="FFFFFF"/>
                <w:sz w:val="16"/>
              </w:rPr>
              <w:t>Detail</w:t>
            </w:r>
          </w:p>
        </w:tc>
      </w:tr>
      <w:tr>
        <w:tc>
          <w:tcPr>
            <w:tcW w:type="dxa" w:w="1872"/>
            <w:vAlign w:val="top"/>
            <w:shd w:fill="F6F8F9"/>
          </w:tcPr>
          <w:p>
            <w:r/>
            <w:r>
              <w:rPr>
                <w:rFonts w:ascii="Calibri" w:hAnsi="Calibri"/>
                <w:b w:val="0"/>
                <w:color w:val="26343D"/>
                <w:sz w:val="17"/>
              </w:rPr>
              <w:t>Date/time</w:t>
            </w:r>
          </w:p>
        </w:tc>
        <w:tc>
          <w:tcPr>
            <w:tcW w:type="dxa" w:w="7488"/>
            <w:vAlign w:val="top"/>
            <w:shd w:fill="F6F8F9"/>
          </w:tcPr>
          <w:p>
            <w:r/>
            <w:r>
              <w:rPr>
                <w:rFonts w:ascii="Calibri" w:hAnsi="Calibri"/>
                <w:b w:val="0"/>
                <w:color w:val="26343D"/>
                <w:sz w:val="17"/>
              </w:rPr>
              <w:t>31 Jul 2026 15:18 AEST</w:t>
            </w:r>
          </w:p>
        </w:tc>
      </w:tr>
      <w:tr>
        <w:tc>
          <w:tcPr>
            <w:tcW w:type="dxa" w:w="1872"/>
            <w:vAlign w:val="top"/>
            <w:shd w:fill="FFFFFF"/>
          </w:tcPr>
          <w:p>
            <w:r/>
            <w:r>
              <w:rPr>
                <w:rFonts w:ascii="Calibri" w:hAnsi="Calibri"/>
                <w:b w:val="0"/>
                <w:color w:val="26343D"/>
                <w:sz w:val="17"/>
              </w:rPr>
              <w:t>From</w:t>
            </w:r>
          </w:p>
        </w:tc>
        <w:tc>
          <w:tcPr>
            <w:tcW w:type="dxa" w:w="7488"/>
            <w:vAlign w:val="top"/>
            <w:shd w:fill="FFFFFF"/>
          </w:tcPr>
          <w:p>
            <w:r/>
            <w:r>
              <w:rPr>
                <w:rFonts w:ascii="Calibri" w:hAnsi="Calibri"/>
                <w:b w:val="0"/>
                <w:color w:val="26343D"/>
                <w:sz w:val="17"/>
              </w:rPr>
              <w:t>Priya Nair</w:t>
            </w:r>
          </w:p>
        </w:tc>
      </w:tr>
      <w:tr>
        <w:tc>
          <w:tcPr>
            <w:tcW w:type="dxa" w:w="1872"/>
            <w:vAlign w:val="top"/>
            <w:shd w:fill="F6F8F9"/>
          </w:tcPr>
          <w:p>
            <w:r/>
            <w:r>
              <w:rPr>
                <w:rFonts w:ascii="Calibri" w:hAnsi="Calibri"/>
                <w:b w:val="0"/>
                <w:color w:val="26343D"/>
                <w:sz w:val="17"/>
              </w:rPr>
              <w:t>To</w:t>
            </w:r>
          </w:p>
        </w:tc>
        <w:tc>
          <w:tcPr>
            <w:tcW w:type="dxa" w:w="7488"/>
            <w:vAlign w:val="top"/>
            <w:shd w:fill="F6F8F9"/>
          </w:tcPr>
          <w:p>
            <w:r/>
            <w:r>
              <w:rPr>
                <w:rFonts w:ascii="Calibri" w:hAnsi="Calibri"/>
                <w:b w:val="0"/>
                <w:color w:val="26343D"/>
                <w:sz w:val="17"/>
              </w:rPr>
              <w:t>Daniel Morgan</w:t>
            </w:r>
          </w:p>
        </w:tc>
      </w:tr>
      <w:tr>
        <w:tc>
          <w:tcPr>
            <w:tcW w:type="dxa" w:w="1872"/>
            <w:vAlign w:val="top"/>
            <w:shd w:fill="FFFFFF"/>
          </w:tcPr>
          <w:p>
            <w:r/>
            <w:r>
              <w:rPr>
                <w:rFonts w:ascii="Calibri" w:hAnsi="Calibri"/>
                <w:b w:val="0"/>
                <w:color w:val="26343D"/>
                <w:sz w:val="17"/>
              </w:rPr>
              <w:t>Subject</w:t>
            </w:r>
          </w:p>
        </w:tc>
        <w:tc>
          <w:tcPr>
            <w:tcW w:type="dxa" w:w="7488"/>
            <w:vAlign w:val="top"/>
            <w:shd w:fill="FFFFFF"/>
          </w:tcPr>
          <w:p>
            <w:r/>
            <w:r>
              <w:rPr>
                <w:rFonts w:ascii="Calibri" w:hAnsi="Calibri"/>
                <w:b w:val="0"/>
                <w:color w:val="26343D"/>
                <w:sz w:val="17"/>
              </w:rPr>
              <w:t>Assessment update</w:t>
            </w:r>
          </w:p>
        </w:tc>
      </w:tr>
    </w:tbl>
    <w:p/>
    <w:p>
      <w:r>
        <w:t>The adjuster recommends an AUD 24,600 storm-attributable building allowance before the AUD 1,000 excess. We are reviewing the excluded maintenance component and still require a television diagnostic or equivalent replacement quote. No final settlement decision has been made.</w:t>
      </w:r>
    </w:p>
    <w:p>
      <w:pPr>
        <w:pStyle w:val="Heading1"/>
      </w:pPr>
      <w:r>
        <w:t>Document control</w:t>
      </w:r>
    </w:p>
    <w:p>
      <w:r>
        <w:t>Compiled 1 August 2026 from synthetic email and call-note records. Addresses use the reserved .invalid domain and are non-operational. SYNTHETIC / FOR RAG TESTING ONLY</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A23B3B"/>
        <w:sz w:val="16"/>
      </w:rPr>
      <w:t>SYNTHETIC / FOR RAG TESTING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SOUTHERN CROSS GENERAL INSURANCE  |  SYNTHETIC CLAIM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634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37C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