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23B3B"/>
          <w:sz w:val="16"/>
        </w:rPr>
        <w:t>SYNTHETIC / FOR RAG TESTING ONLY</w:t>
      </w:r>
    </w:p>
    <w:p>
      <w:pPr>
        <w:pStyle w:val="Title"/>
      </w:pPr>
      <w:r>
        <w:t>Claims Review Notes</w:t>
      </w:r>
    </w:p>
    <w:p>
      <w:pPr>
        <w:pStyle w:val="Subtitle"/>
      </w:pPr>
      <w:r>
        <w:t>Internal working document | Claim CLM-2026-10001 | 1 August 2026</w:t>
      </w:r>
    </w:p>
    <w:p>
      <w:pPr>
        <w:pStyle w:val="IntenseQuote"/>
      </w:pPr>
      <w:r>
        <w:t>INTERNAL SYNTHETIC WORKING NOTES - not a coverage decision</w:t>
      </w:r>
    </w:p>
    <w:p>
      <w:pPr>
        <w:pStyle w:val="Heading1"/>
      </w:pPr>
      <w:r>
        <w:t>Current position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top"/>
            <w:shd w:fill="15324B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Issue</w:t>
            </w:r>
          </w:p>
        </w:tc>
        <w:tc>
          <w:tcPr>
            <w:tcW w:type="dxa" w:w="3816"/>
            <w:vAlign w:val="top"/>
            <w:shd w:fill="15324B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3744"/>
            <w:vAlign w:val="top"/>
            <w:shd w:fill="15324B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Provisional view</w:t>
            </w:r>
          </w:p>
        </w:tc>
      </w:tr>
      <w:tr>
        <w:tc>
          <w:tcPr>
            <w:tcW w:type="dxa" w:w="1800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Storm occurrence</w:t>
            </w:r>
          </w:p>
        </w:tc>
        <w:tc>
          <w:tcPr>
            <w:tcW w:type="dxa" w:w="3816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Incident report; fictional weather record; fresh tile fractures</w:t>
            </w:r>
          </w:p>
        </w:tc>
        <w:tc>
          <w:tcPr>
            <w:tcW w:type="dxa" w:w="3744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Insured event supported</w:t>
            </w:r>
          </w:p>
        </w:tc>
      </w:tr>
      <w:tr>
        <w:tc>
          <w:tcPr>
            <w:tcW w:type="dxa" w:w="1800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Roof condition</w:t>
            </w:r>
          </w:p>
        </w:tc>
        <w:tc>
          <w:tcPr>
            <w:tcW w:type="dxa" w:w="3816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Aged valley sealant, debris and 2024 roof-leak file</w:t>
            </w:r>
          </w:p>
        </w:tc>
        <w:tc>
          <w:tcPr>
            <w:tcW w:type="dxa" w:w="3744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Maintenance/gradual deterioration contribution</w:t>
            </w:r>
          </w:p>
        </w:tc>
      </w:tr>
      <w:tr>
        <w:tc>
          <w:tcPr>
            <w:tcW w:type="dxa" w:w="1800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Building quantum</w:t>
            </w:r>
          </w:p>
        </w:tc>
        <w:tc>
          <w:tcPr>
            <w:tcW w:type="dxa" w:w="3816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Contractor AUD 38,750; adjuster storm allocation AUD 24,600</w:t>
            </w:r>
          </w:p>
        </w:tc>
        <w:tc>
          <w:tcPr>
            <w:tcW w:type="dxa" w:w="3744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Use adjuster allocation pending scope agreement</w:t>
            </w:r>
          </w:p>
        </w:tc>
      </w:tr>
      <w:tr>
        <w:tc>
          <w:tcPr>
            <w:tcW w:type="dxa" w:w="1800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Television</w:t>
            </w:r>
          </w:p>
        </w:tc>
        <w:tc>
          <w:tcPr>
            <w:tcW w:type="dxa" w:w="3816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Claimed AUD 7,500; receipt item price AUD 4,899</w:t>
            </w:r>
          </w:p>
        </w:tc>
        <w:tc>
          <w:tcPr>
            <w:tcW w:type="dxa" w:w="3744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Ownership supported; current equivalent/repair evidence outstanding</w:t>
            </w:r>
          </w:p>
        </w:tc>
      </w:tr>
      <w:tr>
        <w:tc>
          <w:tcPr>
            <w:tcW w:type="dxa" w:w="1800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Disclosure/history</w:t>
            </w:r>
          </w:p>
        </w:tc>
        <w:tc>
          <w:tcPr>
            <w:tcW w:type="dxa" w:w="3816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Current form says no prior roof leak; history shows 2024 claim</w:t>
            </w:r>
          </w:p>
        </w:tc>
        <w:tc>
          <w:tcPr>
            <w:tcW w:type="dxa" w:w="3744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Seek clarification; explanation received 30 July</w:t>
            </w:r>
          </w:p>
        </w:tc>
      </w:tr>
    </w:tbl>
    <w:p/>
    <w:p>
      <w:pPr>
        <w:pStyle w:val="Heading1"/>
      </w:pPr>
      <w:r>
        <w:t>Coverage reasoning</w:t>
      </w:r>
    </w:p>
    <w:p>
      <w:pPr>
        <w:pStyle w:val="ListBullet"/>
      </w:pPr>
      <w:r>
        <w:t>The storm grant is engaged for sudden damage caused by displaced tiles and resultant water ingress.</w:t>
      </w:r>
    </w:p>
    <w:p>
      <w:pPr>
        <w:pStyle w:val="ListBullet"/>
      </w:pPr>
      <w:r>
        <w:t>Wear and tear, gradual deterioration and maintenance exclusions apply to aged sealant, debris removal, pre-existing marking and betterment from full valley renewal.</w:t>
      </w:r>
    </w:p>
    <w:p>
      <w:pPr>
        <w:pStyle w:val="ListBullet"/>
      </w:pPr>
      <w:r>
        <w:t>Apply exclusions only to the identified excluded causes/work; do not treat the existence of deterioration as eliminating all storm cover.</w:t>
      </w:r>
    </w:p>
    <w:p>
      <w:pPr>
        <w:pStyle w:val="ListBullet"/>
      </w:pPr>
      <w:r>
        <w:t>Deduct the AUD 1,000 standard excess once from the accepted event amount.</w:t>
      </w:r>
    </w:p>
    <w:p>
      <w:pPr>
        <w:pStyle w:val="Heading1"/>
      </w:pPr>
      <w:r>
        <w:t>Indicative financial position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608"/>
            <w:vAlign w:val="top"/>
            <w:shd w:fill="15324B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016"/>
            <w:vAlign w:val="top"/>
            <w:shd w:fill="15324B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Amount</w:t>
            </w:r>
          </w:p>
        </w:tc>
        <w:tc>
          <w:tcPr>
            <w:tcW w:type="dxa" w:w="2592"/>
            <w:vAlign w:val="top"/>
            <w:shd w:fill="15324B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4608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Contractor building quote</w:t>
            </w:r>
          </w:p>
        </w:tc>
        <w:tc>
          <w:tcPr>
            <w:tcW w:type="dxa" w:w="2016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AUD 38,750</w:t>
            </w:r>
          </w:p>
        </w:tc>
        <w:tc>
          <w:tcPr>
            <w:tcW w:type="dxa" w:w="2592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Submitted</w:t>
            </w:r>
          </w:p>
        </w:tc>
      </w:tr>
      <w:tr>
        <w:tc>
          <w:tcPr>
            <w:tcW w:type="dxa" w:w="4608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Adjuster storm-attributable building amount</w:t>
            </w:r>
          </w:p>
        </w:tc>
        <w:tc>
          <w:tcPr>
            <w:tcW w:type="dxa" w:w="2016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AUD 24,600</w:t>
            </w:r>
          </w:p>
        </w:tc>
        <w:tc>
          <w:tcPr>
            <w:tcW w:type="dxa" w:w="2592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Recommended reserve</w:t>
            </w:r>
          </w:p>
        </w:tc>
      </w:tr>
      <w:tr>
        <w:tc>
          <w:tcPr>
            <w:tcW w:type="dxa" w:w="4608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Standard excess</w:t>
            </w:r>
          </w:p>
        </w:tc>
        <w:tc>
          <w:tcPr>
            <w:tcW w:type="dxa" w:w="2016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AUD 1,000</w:t>
            </w:r>
          </w:p>
        </w:tc>
        <w:tc>
          <w:tcPr>
            <w:tcW w:type="dxa" w:w="2592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Applicable once</w:t>
            </w:r>
          </w:p>
        </w:tc>
      </w:tr>
      <w:tr>
        <w:tc>
          <w:tcPr>
            <w:tcW w:type="dxa" w:w="4608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Indicative building payment if accepted as scoped</w:t>
            </w:r>
          </w:p>
        </w:tc>
        <w:tc>
          <w:tcPr>
            <w:tcW w:type="dxa" w:w="2016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AUD 23,600</w:t>
            </w:r>
          </w:p>
        </w:tc>
        <w:tc>
          <w:tcPr>
            <w:tcW w:type="dxa" w:w="2592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Before any further adjustment</w:t>
            </w:r>
          </w:p>
        </w:tc>
      </w:tr>
      <w:tr>
        <w:tc>
          <w:tcPr>
            <w:tcW w:type="dxa" w:w="4608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Television claimed replacement value</w:t>
            </w:r>
          </w:p>
        </w:tc>
        <w:tc>
          <w:tcPr>
            <w:tcW w:type="dxa" w:w="2016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AUD 7,500</w:t>
            </w:r>
          </w:p>
        </w:tc>
        <w:tc>
          <w:tcPr>
            <w:tcW w:type="dxa" w:w="2592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Not yet substantiated</w:t>
            </w:r>
          </w:p>
        </w:tc>
      </w:tr>
      <w:tr>
        <w:tc>
          <w:tcPr>
            <w:tcW w:type="dxa" w:w="4608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Television historical item price</w:t>
            </w:r>
          </w:p>
        </w:tc>
        <w:tc>
          <w:tcPr>
            <w:tcW w:type="dxa" w:w="2016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AUD 4,899</w:t>
            </w:r>
          </w:p>
        </w:tc>
        <w:tc>
          <w:tcPr>
            <w:tcW w:type="dxa" w:w="2592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Receipt verified</w:t>
            </w:r>
          </w:p>
        </w:tc>
      </w:tr>
    </w:tbl>
    <w:p/>
    <w:p>
      <w:r>
        <w:br w:type="page"/>
      </w:r>
    </w:p>
    <w:p>
      <w:pPr>
        <w:pStyle w:val="Heading1"/>
      </w:pPr>
      <w:r>
        <w:t>Contradiction and evidence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vAlign w:val="top"/>
            <w:shd w:fill="15324B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600"/>
            <w:vAlign w:val="top"/>
            <w:shd w:fill="15324B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Conflict</w:t>
            </w:r>
          </w:p>
        </w:tc>
        <w:tc>
          <w:tcPr>
            <w:tcW w:type="dxa" w:w="4680"/>
            <w:vAlign w:val="top"/>
            <w:shd w:fill="15324B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Authoritative handling</w:t>
            </w:r>
          </w:p>
        </w:tc>
      </w:tr>
      <w:tr>
        <w:tc>
          <w:tcPr>
            <w:tcW w:type="dxa" w:w="936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C-01</w:t>
            </w:r>
          </w:p>
        </w:tc>
        <w:tc>
          <w:tcPr>
            <w:tcW w:type="dxa" w:w="3600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No prior roof leak stated vs 2024 roof-leak claim</w:t>
            </w:r>
          </w:p>
        </w:tc>
        <w:tc>
          <w:tcPr>
            <w:tcW w:type="dxa" w:w="4680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History establishes prior claim; insured says memory/characterisation caused answer. Record discrepancy, do not infer fraud.</w:t>
            </w:r>
          </w:p>
        </w:tc>
      </w:tr>
      <w:tr>
        <w:tc>
          <w:tcPr>
            <w:tcW w:type="dxa" w:w="936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C-02</w:t>
            </w:r>
          </w:p>
        </w:tc>
        <w:tc>
          <w:tcPr>
            <w:tcW w:type="dxa" w:w="3600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AUD 38,750 quote vs AUD 24,600 event allocation</w:t>
            </w:r>
          </w:p>
        </w:tc>
        <w:tc>
          <w:tcPr>
            <w:tcW w:type="dxa" w:w="4680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Both are valid for different concepts: total proposed work versus covered storm-attributable scope.</w:t>
            </w:r>
          </w:p>
        </w:tc>
      </w:tr>
      <w:tr>
        <w:tc>
          <w:tcPr>
            <w:tcW w:type="dxa" w:w="936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C-03</w:t>
            </w:r>
          </w:p>
        </w:tc>
        <w:tc>
          <w:tcPr>
            <w:tcW w:type="dxa" w:w="3600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AUD 7,500 TV claim vs AUD 4,899 receipt</w:t>
            </w:r>
          </w:p>
        </w:tc>
        <w:tc>
          <w:tcPr>
            <w:tcW w:type="dxa" w:w="4680"/>
            <w:vAlign w:val="top"/>
            <w:shd w:fill="F6F8F9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Claim is asserted replacement estimate; receipt proves historical item price. Obtain current equivalent/repair evidence.</w:t>
            </w:r>
          </w:p>
        </w:tc>
      </w:tr>
      <w:tr>
        <w:tc>
          <w:tcPr>
            <w:tcW w:type="dxa" w:w="936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C-04</w:t>
            </w:r>
          </w:p>
        </w:tc>
        <w:tc>
          <w:tcPr>
            <w:tcW w:type="dxa" w:w="3600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Storm cover vs deterioration exclusion</w:t>
            </w:r>
          </w:p>
        </w:tc>
        <w:tc>
          <w:tcPr>
            <w:tcW w:type="dxa" w:w="4680"/>
            <w:vAlign w:val="top"/>
            <w:shd w:fill="FFFFFF"/>
          </w:tcPr>
          <w:p>
            <w:r/>
            <w:r>
              <w:rPr>
                <w:rFonts w:ascii="Calibri" w:hAnsi="Calibri"/>
                <w:b w:val="0"/>
                <w:color w:val="26343D"/>
                <w:sz w:val="17"/>
              </w:rPr>
              <w:t>Apply concurrent-cause analysis and line-item allocation; accept separable storm damage and exclude maintenance/betterment.</w:t>
            </w:r>
          </w:p>
        </w:tc>
      </w:tr>
    </w:tbl>
    <w:p/>
    <w:p>
      <w:pPr>
        <w:pStyle w:val="Heading1"/>
      </w:pPr>
      <w:r>
        <w:t>Outstanding actions</w:t>
      </w:r>
    </w:p>
    <w:p>
      <w:pPr>
        <w:pStyle w:val="ListBullet"/>
      </w:pPr>
      <w:r>
        <w:t>Obtain television diagnostic report and one current equivalent replacement quote.</w:t>
      </w:r>
    </w:p>
    <w:p>
      <w:pPr>
        <w:pStyle w:val="ListBullet"/>
      </w:pPr>
      <w:r>
        <w:t>Ask adjuster/contractor to reconcile roof and painting line items in a joint scope.</w:t>
      </w:r>
    </w:p>
    <w:p>
      <w:pPr>
        <w:pStyle w:val="ListBullet"/>
      </w:pPr>
      <w:r>
        <w:t>Retain the insured’s 30 July clarification with the disclosure review.</w:t>
      </w:r>
    </w:p>
    <w:p>
      <w:pPr>
        <w:pStyle w:val="ListBullet"/>
      </w:pPr>
      <w:r>
        <w:t>Confirm drying logs and electrical certificate before final building payment.</w:t>
      </w:r>
    </w:p>
    <w:p>
      <w:pPr>
        <w:pStyle w:val="ListBullet"/>
      </w:pPr>
      <w:r>
        <w:t>Issue a reasoned partial acceptance letter identifying covered and excluded work and review rights.</w:t>
      </w:r>
    </w:p>
    <w:p>
      <w:pPr>
        <w:pStyle w:val="Heading1"/>
      </w:pPr>
      <w:r>
        <w:t>Decision checkpoint</w:t>
      </w:r>
    </w:p>
    <w:p>
      <w:r>
        <w:t>Recommended: accept storm component in principle; maintain building reserve of AUD 24,600; do not settle contents until further evidence; communicate that no dishonesty finding has been made. Review owner: Priya Nair (fictional). Next review: 5 August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A23B3B"/>
        <w:sz w:val="16"/>
      </w:rPr>
      <w:t>SYNTHETIC / FOR RAG TESTING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SOUTHERN CROSS GENERAL INSURANCE  |  SYNTHETIC CLAIM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532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37C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532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