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75B6"/>
          <w:sz w:val="28"/>
          <w:szCs w:val="28"/>
        </w:rPr>
        <w:t xml:space="preserve">ENGR 181W – Technical Writing</w:t>
      </w:r>
    </w:p>
    <w:p>
      <w:pPr>
        <w:spacing w:after="480" w:before="0"/>
        <w:jc w:val="center"/>
      </w:pPr>
      <w:r>
        <w:rPr>
          <w:rFonts w:ascii="Arial" w:cs="Arial" w:eastAsia="Arial" w:hAnsi="Arial"/>
          <w:color w:val="444444"/>
          <w:sz w:val="26"/>
          <w:szCs w:val="26"/>
        </w:rPr>
        <w:t xml:space="preserve">Technical Report – Chapters 1 through 5</w:t>
      </w:r>
    </w:p>
    <w:p>
      <w:pPr>
        <w:spacing w:after="200" w:before="0"/>
        <w:jc w:val="center"/>
      </w:pPr>
      <w:r>
        <w:rPr>
          <w:rFonts w:ascii="Arial" w:cs="Arial" w:eastAsia="Arial" w:hAnsi="Arial"/>
          <w:b/>
          <w:bCs/>
          <w:sz w:val="36"/>
          <w:szCs w:val="36"/>
        </w:rPr>
        <w:t xml:space="preserve">Battery Management System (BMS)</w:t>
      </w:r>
    </w:p>
    <w:p>
      <w:pPr>
        <w:spacing w:after="800" w:before="0"/>
        <w:jc w:val="center"/>
      </w:pPr>
      <w:r>
        <w:rPr>
          <w:rFonts w:ascii="Arial" w:cs="Arial" w:eastAsia="Arial" w:hAnsi="Arial"/>
          <w:i/>
          <w:iCs/>
          <w:sz w:val="26"/>
          <w:szCs w:val="26"/>
        </w:rPr>
        <w:t xml:space="preserve">for 10-Cell Lithium-Ion Pack with Electronic Load and Desktop Dashboard</w:t>
      </w:r>
    </w:p>
    <w:p>
      <w:pPr>
        <w:spacing w:after="200" w:before="0"/>
        <w:jc w:val="center"/>
      </w:pPr>
      <w:r>
        <w:rPr>
          <w:rFonts w:ascii="Arial" w:cs="Arial" w:eastAsia="Arial" w:hAnsi="Arial"/>
          <w:color w:val="444444"/>
          <w:sz w:val="24"/>
          <w:szCs w:val="24"/>
        </w:rPr>
        <w:t xml:space="preserve">EE 175AB Senior Design  |  Spring 2026</w:t>
      </w:r>
    </w:p>
    <w:p>
      <w:pPr>
        <w:spacing w:after="200" w:before="0"/>
        <w:jc w:val="center"/>
      </w:pPr>
      <w:r>
        <w:rPr>
          <w:rFonts w:ascii="Arial" w:cs="Arial" w:eastAsia="Arial" w:hAnsi="Arial"/>
          <w:color w:val="444444"/>
          <w:sz w:val="24"/>
          <w:szCs w:val="24"/>
        </w:rPr>
        <w:t xml:space="preserve">University of California, Riverside</w:t>
      </w:r>
    </w:p>
    <w:p>
      <w:pPr>
        <w:spacing w:after="80" w:before="80"/>
      </w:pPr>
      <w:r>
        <w:t xml:space="preserve"/>
      </w:r>
    </w:p>
    <w:p>
      <w:pPr>
        <w:spacing w:after="80" w:before="80"/>
      </w:pPr>
      <w:r>
        <w:t xml:space="preserve"/>
      </w:r>
    </w:p>
    <w:p>
      <w:pPr>
        <w:spacing w:after="120" w:before="0"/>
        <w:jc w:val="center"/>
      </w:pPr>
      <w:r>
        <w:rPr>
          <w:rFonts w:ascii="Arial" w:cs="Arial" w:eastAsia="Arial" w:hAnsi="Arial"/>
          <w:b/>
          <w:bCs/>
          <w:sz w:val="24"/>
          <w:szCs w:val="24"/>
        </w:rPr>
        <w:t xml:space="preserve">Kaushik Vada</w:t>
      </w:r>
    </w:p>
    <w:p>
      <w:pPr>
        <w:spacing w:after="1200" w:before="0"/>
        <w:jc w:val="center"/>
      </w:pPr>
      <w:r>
        <w:rPr>
          <w:rFonts w:ascii="Arial" w:cs="Arial" w:eastAsia="Arial" w:hAnsi="Arial"/>
          <w:color w:val="666666"/>
          <w:sz w:val="24"/>
          <w:szCs w:val="24"/>
        </w:rPr>
        <w:t xml:space="preserve">May 2026</w:t>
      </w:r>
    </w:p>
    <w:p>
      <w:r>
        <w:br w:type="page"/>
      </w:r>
    </w:p>
    <w:p>
      <w:pPr>
        <w:pStyle w:val="Heading1"/>
        <w:spacing w:after="120" w:before="360"/>
      </w:pPr>
      <w:r>
        <w:rPr>
          <w:rFonts w:ascii="Arial" w:cs="Arial" w:eastAsia="Arial" w:hAnsi="Arial"/>
          <w:b/>
          <w:bCs/>
          <w:sz w:val="32"/>
          <w:szCs w:val="32"/>
        </w:rPr>
        <w:t xml:space="preserve">1  Executive Summary</w:t>
      </w:r>
    </w:p>
    <w:p>
      <w:pPr>
        <w:spacing w:after="120" w:before="80"/>
      </w:pPr>
      <w:r>
        <w:rPr>
          <w:rFonts w:ascii="Arial" w:cs="Arial" w:eastAsia="Arial" w:hAnsi="Arial"/>
          <w:sz w:val="24"/>
          <w:szCs w:val="24"/>
        </w:rPr>
        <w:t xml:space="preserve">This report documents the design, development, and validation of a Battery Management System (BMS) for a 10-series, 1-parallel (10s1p) lithium-ion cell pack. The system was developed as the senior design capstone project for EE 175AB at the University of California, Riverside. The BMS is designed to safely monitor and protect a Molicel P42A-based pack while simultaneously driving a programmable electronic load (E-Load) and presenting real-time telemetry through a desktop dashboard application.</w:t>
      </w:r>
    </w:p>
    <w:p>
      <w:pPr>
        <w:spacing w:after="120" w:before="80"/>
      </w:pPr>
      <w:r>
        <w:rPr>
          <w:rFonts w:ascii="Arial" w:cs="Arial" w:eastAsia="Arial" w:hAnsi="Arial"/>
          <w:sz w:val="24"/>
          <w:szCs w:val="24"/>
        </w:rPr>
        <w:t xml:space="preserve">Lithium-ion batteries present significant safety and reliability challenges when used in high-current applications. Without active protection, individual cells can exceed safe voltage thresholds, undergo thermal runaway, or suffer permanent damage from overcurrent events. Commercial BMS solutions capable of handling a 10-cell stack with custom telemetry integration are either cost-prohibitive or inflexible for research-grade use. This project addresses that gap by building a fully custom, open-source BMS tailored to a laboratory testbench environment.</w:t>
      </w:r>
    </w:p>
    <w:p>
      <w:pPr>
        <w:spacing w:after="120" w:before="80"/>
      </w:pPr>
      <w:r>
        <w:rPr>
          <w:rFonts w:ascii="Arial" w:cs="Arial" w:eastAsia="Arial" w:hAnsi="Arial"/>
          <w:sz w:val="24"/>
          <w:szCs w:val="24"/>
        </w:rPr>
        <w:t xml:space="preserve">The primary goal of this project is to deliver a safe, accurate, and observable battery management platform. The system must monitor all 10 individual cell voltages with a maximum error of ±20 mV, interrupt load current within 5 milliseconds under overcurrent or short-circuit conditions, support a user-configurable constant-current or constant-power discharge profile through the E-Load, and present live data through a GUI that refreshes at no less than 5 Hz.</w:t>
      </w:r>
    </w:p>
    <w:p>
      <w:pPr>
        <w:spacing w:after="120" w:before="80"/>
      </w:pPr>
      <w:r>
        <w:rPr>
          <w:rFonts w:ascii="Arial" w:cs="Arial" w:eastAsia="Arial" w:hAnsi="Arial"/>
          <w:sz w:val="24"/>
          <w:szCs w:val="24"/>
        </w:rPr>
        <w:t xml:space="preserve">The BMS hardware is built around the Texas Instruments BQ76930 Analog Front End (AFE), which supervises all 10 cell voltage rails and executes hardware-level fault protection autonomously. An STM32F303RCT6 microcontroller communicates with the BQ76930 over I2C and forwards telemetry to a host computer via USB CDC at 115200 baud. A solid-state relay driven by the AFE's DSG and CHG pins forms the pack breaker. A second STM32-based PCB drives the E-Load using a 12-bit MCP4725 DAC to set a reference voltage for an AD8630 op-amp feedback loop controlling two IRFP250N power MOSFETs acting as current sinks.</w:t>
      </w:r>
    </w:p>
    <w:p>
      <w:pPr>
        <w:spacing w:after="120" w:before="80"/>
      </w:pPr>
      <w:r>
        <w:rPr>
          <w:rFonts w:ascii="Arial" w:cs="Arial" w:eastAsia="Arial" w:hAnsi="Arial"/>
          <w:sz w:val="24"/>
          <w:szCs w:val="24"/>
        </w:rPr>
        <w:t xml:space="preserve">Validation testing demonstrated that the system met or exceeded all quantitative design objectives. Cell voltage measurements achieved ±10 mV accuracy against a calibrated Keysight DMM, well within the ±20 mV target. The breaker mechanism achieved a 100% success rate across 25 consecutive overcurrent trigger tests with no welding or contact failure observed. The E-Load followed programmed current profiles with less than 2% deviation under load steps. The dashboard, running on a NVIDIA Jetson AGX Orin development board, maintained a consistent 10 Hz telemetry refresh rate across the full test duration. Together, these results confirm that the system is production-ready for continued laboratory use and forms a reliable foundation for future battery research at UC Riverside.</w:t>
      </w:r>
    </w:p>
    <w:p>
      <w:r>
        <w:br w:type="page"/>
      </w:r>
    </w:p>
    <w:p>
      <w:pPr>
        <w:pStyle w:val="Heading1"/>
        <w:spacing w:after="120" w:before="360"/>
      </w:pPr>
      <w:r>
        <w:rPr>
          <w:rFonts w:ascii="Arial" w:cs="Arial" w:eastAsia="Arial" w:hAnsi="Arial"/>
          <w:b/>
          <w:bCs/>
          <w:sz w:val="32"/>
          <w:szCs w:val="32"/>
        </w:rPr>
        <w:t xml:space="preserve">2  Introduction</w:t>
      </w:r>
    </w:p>
    <w:p>
      <w:pPr>
        <w:pStyle w:val="Heading2"/>
        <w:spacing w:after="100" w:before="240"/>
      </w:pPr>
      <w:r>
        <w:rPr>
          <w:rFonts w:ascii="Arial" w:cs="Arial" w:eastAsia="Arial" w:hAnsi="Arial"/>
          <w:b/>
          <w:bCs/>
          <w:sz w:val="26"/>
          <w:szCs w:val="26"/>
        </w:rPr>
        <w:t xml:space="preserve">2.1  Design Objectives</w:t>
      </w:r>
    </w:p>
    <w:p>
      <w:pPr>
        <w:spacing w:after="120" w:before="80"/>
      </w:pPr>
      <w:r>
        <w:rPr>
          <w:rFonts w:ascii="Arial" w:cs="Arial" w:eastAsia="Arial" w:hAnsi="Arial"/>
          <w:sz w:val="24"/>
          <w:szCs w:val="24"/>
        </w:rPr>
        <w:t xml:space="preserve">The BMS project was chartered with the following quantitative performance objectives. Each objective is paired with the responsible team member and the rationale linking it to the broader system requirements.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Objective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Responsible</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Rationale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Cell voltage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 mV max error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Connor Stewart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Ensures safe charge/discharge decisions per IEC 62133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Breaker response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ms under OC/SCD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Kaushik Vada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Limits peak current stress on cells and PCB traces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E-Load current regulation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 of set-point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Christian Kim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for repeatable discharge capacity testing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Dashboard telemetry refresh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Hz live update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Nick Pham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Enables real-time fault detection by the operator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Pack operating voltage 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30–42 V (10s Li-ion)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Connor Stewart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Matches Molicel P42A cell chemistry specifications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Maximum continuous discharge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 A (420 W peak)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Kaushik Vada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Sized to E-Load MOSFET thermal dissipation limits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USB telemetry baud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115200 baud USB CDC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Nick Pham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Compatible with standard host USB serial drivers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Dashboard startup 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 s from app launch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Nick Pham</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Satisfies operator usability requirement</w:t>
            </w:r>
          </w:p>
        </w:tc>
      </w:tr>
    </w:tbl>
    <w:p>
      <w:pPr>
        <w:spacing w:after="80" w:before="80"/>
      </w:pPr>
      <w:r>
        <w:t xml:space="preserve"/>
      </w:r>
    </w:p>
    <w:p>
      <w:pPr>
        <w:pStyle w:val="Heading2"/>
        <w:spacing w:after="100" w:before="240"/>
      </w:pPr>
      <w:r>
        <w:rPr>
          <w:rFonts w:ascii="Arial" w:cs="Arial" w:eastAsia="Arial" w:hAnsi="Arial"/>
          <w:b/>
          <w:bCs/>
          <w:sz w:val="26"/>
          <w:szCs w:val="26"/>
        </w:rPr>
        <w:t xml:space="preserve">2.2  Prior Art</w:t>
      </w:r>
    </w:p>
    <w:p>
      <w:pPr>
        <w:spacing w:after="120" w:before="80"/>
      </w:pPr>
      <w:r>
        <w:rPr>
          <w:rFonts w:ascii="Arial" w:cs="Arial" w:eastAsia="Arial" w:hAnsi="Arial"/>
          <w:sz w:val="24"/>
          <w:szCs w:val="24"/>
        </w:rPr>
        <w:t xml:space="preserve">Several commercial and open-source BMS platforms were evaluated before committing to a fully custom design. The most relevant commercial system is the Orion BMS 2, manufactured by Ewert Energy Systems. The Orion BMS 2 supports up to 180 cells in series, features integrated CAN bus communication, and is widely used in electric vehicle conversions. However, it retails at over $1,200 for a base unit without accessories, requires proprietary software for parameter configuration, and does not expose raw cell-level voltage data over a standard serial interface accessible to a custom GUI. Its thermal management and state-of-charge algorithms are opaque and not easily adapted for laboratory experimentation.</w:t>
      </w:r>
    </w:p>
    <w:p>
      <w:pPr>
        <w:spacing w:after="120" w:before="80"/>
      </w:pPr>
      <w:r>
        <w:rPr>
          <w:rFonts w:ascii="Arial" w:cs="Arial" w:eastAsia="Arial" w:hAnsi="Arial"/>
          <w:sz w:val="24"/>
          <w:szCs w:val="24"/>
        </w:rPr>
        <w:t xml:space="preserve">The Daly Smart BMS line represents a lower-cost alternative at approximately $30–60 for a 10-cell unit, but it provides limited configurability and does not support user-programmable protection thresholds. Open-source platforms such as the DieBieMS and the VESC-based BMS offer more flexibility but are designed around CAN bus topologies incompatible with the USB CDC + PyQt6 stack selected for this project.</w:t>
      </w:r>
    </w:p>
    <w:p>
      <w:pPr>
        <w:spacing w:after="120" w:before="80"/>
      </w:pPr>
      <w:r>
        <w:rPr>
          <w:rFonts w:ascii="Arial" w:cs="Arial" w:eastAsia="Arial" w:hAnsi="Arial"/>
          <w:sz w:val="24"/>
          <w:szCs w:val="24"/>
        </w:rPr>
        <w:t xml:space="preserve">The custom BMS developed in EE 175AB is distinguished from these alternatives by its direct integration with the E-Load testbench, its open firmware, its native USB serial communication, and its Three.js-powered 3D dashboard—all designed to operate as a unified laboratory instrument rather than a standalone pack protector.</w:t>
      </w:r>
    </w:p>
    <w:p>
      <w:pPr>
        <w:pStyle w:val="Heading2"/>
        <w:spacing w:after="100" w:before="240"/>
      </w:pPr>
      <w:r>
        <w:rPr>
          <w:rFonts w:ascii="Arial" w:cs="Arial" w:eastAsia="Arial" w:hAnsi="Arial"/>
          <w:b/>
          <w:bCs/>
          <w:sz w:val="26"/>
          <w:szCs w:val="26"/>
        </w:rPr>
        <w:t xml:space="preserve">2.3  Development Environment</w:t>
      </w:r>
    </w:p>
    <w:p>
      <w:pPr>
        <w:spacing w:after="120" w:before="80"/>
      </w:pPr>
      <w:r>
        <w:rPr>
          <w:rFonts w:ascii="Arial" w:cs="Arial" w:eastAsia="Arial" w:hAnsi="Arial"/>
          <w:sz w:val="24"/>
          <w:szCs w:val="24"/>
        </w:rPr>
        <w:t xml:space="preserve">The following tools and platforms were used across hardware and software development:</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Tool / Platform</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Version / Part</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STM32CubeIDE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1.14.0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Firmware development and debugging for STM32F303RCT6</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KiCad EDA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7.0.10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Schematic capture and PCB layout for all four custom PCBs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LTspice XVII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17.1.x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SPICE simulation of power supply, breaker, and filter circuits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Python 3.11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3.11.8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Backend application logic and USB CDC serial communication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PyQt6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6.6.1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Desktop GUI framework hosting the web-based dashboard panel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Qt WebEngine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6.6.x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Embedded Chromium browser for rendering the Three.js frontend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Three.js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r162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3D cell stack visualization in the dashboard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GSAP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3.12.x</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Dashboard animation and state transition management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QWebChannel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Qt6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Real-time Python-to-JavaScript bridge for telemetry streaming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JLCPCB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PCB fabrication for BMS, E-Load, power board, and cell emulator</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Keysight DSOX1204G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Oscilloscope for signal integrity and timing verification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Keysight 34461A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6.5-digit DMM for cell voltage accuracy calibration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NVIDIA Jetson AGX Orin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Target host platform for the dashboard application</w:t>
            </w:r>
          </w:p>
        </w:tc>
      </w:tr>
    </w:tbl>
    <w:p>
      <w:pPr>
        <w:spacing w:after="80" w:before="80"/>
      </w:pPr>
      <w:r>
        <w:t xml:space="preserve"/>
      </w:r>
    </w:p>
    <w:p>
      <w:pPr>
        <w:pStyle w:val="Heading2"/>
        <w:spacing w:after="100" w:before="240"/>
      </w:pPr>
      <w:r>
        <w:rPr>
          <w:rFonts w:ascii="Arial" w:cs="Arial" w:eastAsia="Arial" w:hAnsi="Arial"/>
          <w:b/>
          <w:bCs/>
          <w:sz w:val="26"/>
          <w:szCs w:val="26"/>
        </w:rPr>
        <w:t xml:space="preserve">2.4  Related Documents</w:t>
      </w:r>
    </w:p>
    <w:p>
      <w:pPr>
        <w:spacing w:after="120" w:before="80"/>
      </w:pPr>
      <w:r>
        <w:rPr>
          <w:rFonts w:ascii="Arial" w:cs="Arial" w:eastAsia="Arial" w:hAnsi="Arial"/>
          <w:sz w:val="24"/>
          <w:szCs w:val="24"/>
        </w:rPr>
        <w:t xml:space="preserve">The following documents support or are referenced by this report: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Source / Location</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BQ76930 Product Datasheet (Rev. 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Texas Instruments – ti.com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STM32F303RCT6 Reference Manual (RM0316)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STMicroelectronics – st.com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Molicel P42A Datasheet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Molicel – molicel.com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IPC-2221B Generic Standard on Printed Board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IPC – ipc.org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USB 2.0 Specification (Rev. 2.0)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USB-IF – usb.org</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I2C Specification (UM10204, Rev. 7.0)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NXP Semiconductors – nxp.com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EE 175AB Final Report – Battery Management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UC Riverside EE175AB Archive</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LM76005 Datasheet (Rev. 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Texas Instruments – ti.com</w:t>
            </w:r>
          </w:p>
        </w:tc>
      </w:tr>
      <w:tr>
        <w:trPr>
          <w:tblHeader w:val="false"/>
        </w:trP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MCP4725 Datasheet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Microchip Technology – microchip.com</w:t>
            </w:r>
          </w:p>
        </w:tc>
      </w:tr>
    </w:tbl>
    <w:p>
      <w:pPr>
        <w:spacing w:after="80" w:before="80"/>
      </w:pPr>
      <w:r>
        <w:t xml:space="preserve"/>
      </w:r>
    </w:p>
    <w:p>
      <w:pPr>
        <w:pStyle w:val="Heading2"/>
        <w:spacing w:after="100" w:before="240"/>
      </w:pPr>
      <w:r>
        <w:rPr>
          <w:rFonts w:ascii="Arial" w:cs="Arial" w:eastAsia="Arial" w:hAnsi="Arial"/>
          <w:b/>
          <w:bCs/>
          <w:sz w:val="26"/>
          <w:szCs w:val="26"/>
        </w:rPr>
        <w:t xml:space="preserve">2.5  Acronyms and Abbreviations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Acronym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ADC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Analog-to-Digital Converter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AFE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Analog Front End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Battery Management System</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CDC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Communications Device Class (USB)</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Cyclic Redundancy Check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Digital-to-Analog Converter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DMM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Digital Multimeter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DSG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Discharge FET control signal (BQ76930 pin)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E-Load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Electronic Load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GUI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Graphical User Interface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I2C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Inter-Integrated Circuit (serial protocol)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JLCPCB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Jiangsu Longke Circuit Board Co., Ltd. (PCB fab)</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MCU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Microcontroller Unit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MOSFET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Metal-Oxide-Semiconductor Field-Effect Transistor</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Overcurrent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Overvoltage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PCB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Printed Circuit Board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PWM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Pulse-Width Modulation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Short-Circuit in Discharge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Universal Serial Bus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Undervoltage</w:t>
            </w:r>
          </w:p>
        </w:tc>
      </w:tr>
    </w:tbl>
    <w:p>
      <w:pPr>
        <w:spacing w:after="80" w:before="80"/>
      </w:pPr>
      <w:r>
        <w:t xml:space="preserve"/>
      </w:r>
    </w:p>
    <w:p>
      <w:r>
        <w:br w:type="page"/>
      </w:r>
    </w:p>
    <w:p>
      <w:pPr>
        <w:pStyle w:val="Heading1"/>
        <w:spacing w:after="120" w:before="360"/>
      </w:pPr>
      <w:r>
        <w:rPr>
          <w:rFonts w:ascii="Arial" w:cs="Arial" w:eastAsia="Arial" w:hAnsi="Arial"/>
          <w:b/>
          <w:bCs/>
          <w:sz w:val="32"/>
          <w:szCs w:val="32"/>
        </w:rPr>
        <w:t xml:space="preserve">3  Design Considerations</w:t>
      </w:r>
    </w:p>
    <w:p>
      <w:pPr>
        <w:pStyle w:val="Heading2"/>
        <w:spacing w:after="100" w:before="240"/>
      </w:pPr>
      <w:r>
        <w:rPr>
          <w:rFonts w:ascii="Arial" w:cs="Arial" w:eastAsia="Arial" w:hAnsi="Arial"/>
          <w:b/>
          <w:bCs/>
          <w:sz w:val="26"/>
          <w:szCs w:val="26"/>
        </w:rPr>
        <w:t xml:space="preserve">3.1  Realistic Constraints</w:t>
      </w:r>
    </w:p>
    <w:p>
      <w:pPr>
        <w:spacing w:after="120" w:before="80"/>
      </w:pPr>
      <w:r>
        <w:rPr>
          <w:rFonts w:ascii="Arial" w:cs="Arial" w:eastAsia="Arial" w:hAnsi="Arial"/>
          <w:sz w:val="24"/>
          <w:szCs w:val="24"/>
        </w:rPr>
        <w:t xml:space="preserve">The BMS design is subject to several real-world constraints that shaped every architectural decision. First, the system must operate within a student laboratory budget, which fixed the total component expenditure at under $3,000 across all PCBs, mechanical hardware, and test equipment. Second, the timeline of two academic quarters (approximately 20 weeks) constrained the scope of features that could be implemented and validated. Third, all custom PCBs were manufactured by JLCPCB with standard 2-layer stackup and 6/6 mil design rules, preventing the use of controlled-impedance routing or embedded components. Finally, the entire firmware stack was written in C using the STM32 HAL library rather than a real-time operating system, which required careful interrupt-driven design to meet the 5 ms breaker response specification.</w:t>
      </w:r>
    </w:p>
    <w:p>
      <w:pPr>
        <w:pStyle w:val="Heading2"/>
        <w:spacing w:after="100" w:before="240"/>
      </w:pPr>
      <w:r>
        <w:rPr>
          <w:rFonts w:ascii="Arial" w:cs="Arial" w:eastAsia="Arial" w:hAnsi="Arial"/>
          <w:b/>
          <w:bCs/>
          <w:sz w:val="26"/>
          <w:szCs w:val="26"/>
        </w:rPr>
        <w:t xml:space="preserve">3.2  System Environment</w:t>
      </w:r>
    </w:p>
    <w:p>
      <w:pPr>
        <w:spacing w:after="120" w:before="80"/>
      </w:pPr>
      <w:r>
        <w:rPr>
          <w:rFonts w:ascii="Arial" w:cs="Arial" w:eastAsia="Arial" w:hAnsi="Arial"/>
          <w:sz w:val="24"/>
          <w:szCs w:val="24"/>
        </w:rPr>
        <w:t xml:space="preserve">The BMS testbench operates in a university electrical engineering laboratory under ambient conditions of 18–25°C and 30–60% relative humidity. The E-Load dissipates up to 420 W during peak discharge tests, requiring forced-air cooling via an 80 mm fan mounted directly to the heatsink. The pack voltage range of 30–42 V and continuous discharge currents up to 10 A place the system within the IEC 62368-1 safety classification for audio/video, information, and communication technology equipment. All high-voltage nodes on the BMS PCB are enclosed within a 3D-printed ABS enclosure with ventilation slots and a polycarbonate viewing panel.</w:t>
      </w:r>
    </w:p>
    <w:p>
      <w:pPr>
        <w:pStyle w:val="Heading2"/>
        <w:spacing w:after="100" w:before="240"/>
      </w:pPr>
      <w:r>
        <w:rPr>
          <w:rFonts w:ascii="Arial" w:cs="Arial" w:eastAsia="Arial" w:hAnsi="Arial"/>
          <w:b/>
          <w:bCs/>
          <w:sz w:val="26"/>
          <w:szCs w:val="26"/>
        </w:rPr>
        <w:t xml:space="preserve">3.3  Industry Standards</w:t>
      </w:r>
    </w:p>
    <w:p>
      <w:pPr>
        <w:spacing w:after="120" w:before="80"/>
      </w:pPr>
      <w:r>
        <w:rPr>
          <w:rFonts w:ascii="Arial" w:cs="Arial" w:eastAsia="Arial" w:hAnsi="Arial"/>
          <w:sz w:val="24"/>
          <w:szCs w:val="24"/>
        </w:rPr>
        <w:t xml:space="preserve">The following standards were applied during design and validation: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Standard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Scope of Application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IPC-2221B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PCB trace width, clearance, and creepage distance for up to 42 V operation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USB 2.0 (Full Speed)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USB CDC serial communication at 12 Mbps physical layer, 115200 baud application layer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I2C Specification (NXP UM10204)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400 kHz fast-mode I2C between STM32 and BQ76930; pull-up resistor sizing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IEC 62133-2:2017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Cell-level overvoltage and undervoltage protection thresholds for Li-ion cells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IEEE 1625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Rechargeable battery systems for portable computing – informative reference for pack design</w:t>
            </w:r>
          </w:p>
        </w:tc>
      </w:tr>
    </w:tbl>
    <w:p>
      <w:pPr>
        <w:spacing w:after="80" w:before="80"/>
      </w:pPr>
      <w:r>
        <w:t xml:space="preserve"/>
      </w:r>
    </w:p>
    <w:p>
      <w:pPr>
        <w:pStyle w:val="Heading2"/>
        <w:spacing w:after="100" w:before="240"/>
      </w:pPr>
      <w:r>
        <w:rPr>
          <w:rFonts w:ascii="Arial" w:cs="Arial" w:eastAsia="Arial" w:hAnsi="Arial"/>
          <w:b/>
          <w:bCs/>
          <w:sz w:val="26"/>
          <w:szCs w:val="26"/>
        </w:rPr>
        <w:t xml:space="preserve">3.4  Knowledge and Skills Required</w:t>
      </w:r>
    </w:p>
    <w:p>
      <w:pPr>
        <w:spacing w:after="120" w:before="80"/>
      </w:pPr>
      <w:r>
        <w:rPr>
          <w:rFonts w:ascii="Arial" w:cs="Arial" w:eastAsia="Arial" w:hAnsi="Arial"/>
          <w:sz w:val="24"/>
          <w:szCs w:val="24"/>
        </w:rPr>
        <w:t xml:space="preserve">Successful delivery of this project required the team to develop and apply skills across multiple engineering disciplines. In analog hardware, the team designed a two-stage DC-DC power supply (LM76005 producing 12 V, followed by LMR36015 producing 3.3 V) and a constant-current feedback loop using the AD8630 op-amp. In digital hardware, the STM32F303RCT6 was configured for I2C master mode, USB CDC device mode, and PWM output—all simultaneously—using STM32CubeMX peripheral conflict resolution. In PCB design, the team applied IPC-2221B trace width calculations and verified 5 kV creepage requirements between the high-voltage battery domain and the low-voltage logic domain. In firmware engineering, a fully interrupt-driven communication architecture was implemented without an RTOS, using USB CDC callbacks and I2C DMA transfers. In software engineering, a Python 3.11 application was built with PyQt6, Qt WebEngine, and QWebChannel to deliver a real-time 3D dashboard with sub-100 ms latency from sensor to display.</w:t>
      </w:r>
    </w:p>
    <w:p>
      <w:pPr>
        <w:pStyle w:val="Heading2"/>
        <w:spacing w:after="100" w:before="240"/>
      </w:pPr>
      <w:r>
        <w:rPr>
          <w:rFonts w:ascii="Arial" w:cs="Arial" w:eastAsia="Arial" w:hAnsi="Arial"/>
          <w:b/>
          <w:bCs/>
          <w:sz w:val="26"/>
          <w:szCs w:val="26"/>
        </w:rPr>
        <w:t xml:space="preserve">3.5  Budget</w:t>
      </w:r>
    </w:p>
    <w:p>
      <w:pPr>
        <w:spacing w:after="120" w:before="80"/>
      </w:pPr>
      <w:r>
        <w:rPr>
          <w:rFonts w:ascii="Arial" w:cs="Arial" w:eastAsia="Arial" w:hAnsi="Arial"/>
          <w:sz w:val="24"/>
          <w:szCs w:val="24"/>
        </w:rPr>
        <w:t xml:space="preserve">The table below summarizes the actual expenditures incurred over both project quarters.</w:t>
      </w:r>
    </w:p>
    <w:p>
      <w:pPr>
        <w:spacing w:after="8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700"/>
        <w:gridCol w:w="1100"/>
        <w:gridCol w:w="12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Item</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Qty</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Unit Cost</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Total</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PCB Fabrication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BMS Controller PCB (JLCPCB, 2-layer)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$18.00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$90.00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PCB Fabrication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E-Load PCB (JLCPCB, 2-layer)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PCB Fabrication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Power Board PCB (JLCPCB, 2-layer)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PCB Fabrication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Cell Emulator PCB (JLCPCB, 2-layer)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BQ76930 AFE (TI, HTSSOP-30)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$25.50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STM32F303RCT6 (ST, LQFP-64)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$9.20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$36.80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LM76005RNPR Buck Regulator (TI)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$4.10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$12.30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LMR36015FADDAR Buck Regulator (TI)</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$3.80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$11.40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MCP4725A0T-E/CH DAC (Microchip, SOT-23)</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$1.45</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$7.25</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ICs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AD8630ARTZ-R2 Op-Amp (Analog Devices)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$2.90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$14.50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IRFP250N N-Ch MOSFET (TO-247)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$2.20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$22.00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Aluminum Heatsink 150×120×40 mm</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$28.00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 mm Brushless Fan 12V</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$6.50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Power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Solid-State Relay 40A (SPST)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$18.00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$36.00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Passives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Resistors, capacitors, inductors (assorted)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$95.00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Connectors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XT60, JST-PH, Phoenix Contact (assorted)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$42.00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Mechanical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3D-printed ABS enclosure + hardware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$85.00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$85.00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Battery Cells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Molicel P42A 21700 (10 cells)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$120.00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Test Equipment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Digital multimeter probes (replacement)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$22.00</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Shipping / Misc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JLCPCB shipping, component reorders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$65.26</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$2,966.01</w:t>
            </w:r>
          </w:p>
        </w:tc>
      </w:tr>
    </w:tbl>
    <w:p>
      <w:pPr>
        <w:spacing w:after="80" w:before="80"/>
      </w:pPr>
      <w:r>
        <w:t xml:space="preserve"/>
      </w:r>
    </w:p>
    <w:p>
      <w:pPr>
        <w:pStyle w:val="Heading2"/>
        <w:spacing w:after="100" w:before="240"/>
      </w:pPr>
      <w:r>
        <w:rPr>
          <w:rFonts w:ascii="Arial" w:cs="Arial" w:eastAsia="Arial" w:hAnsi="Arial"/>
          <w:b/>
          <w:bCs/>
          <w:sz w:val="26"/>
          <w:szCs w:val="26"/>
        </w:rPr>
        <w:t xml:space="preserve">3.6  Safety Objectives</w:t>
      </w:r>
    </w:p>
    <w:p>
      <w:pPr>
        <w:spacing w:after="120" w:before="80"/>
      </w:pPr>
      <w:r>
        <w:rPr>
          <w:rFonts w:ascii="Arial" w:cs="Arial" w:eastAsia="Arial" w:hAnsi="Arial"/>
          <w:sz w:val="24"/>
          <w:szCs w:val="24"/>
        </w:rPr>
        <w:t xml:space="preserve">BMS safety objectives: (1) The BQ76930 must open the discharge FET within 70 µs of detecting a short-circuit current event (hardware-enforced SCD threshold). (2) The pack breaker must sustain 40 A peak switching without contact welding. (3) All high-voltage traces must maintain ≥2 mm clearance from logic-domain traces per IPC-2221B at 42 V. (4) The enclosure must prevent unintended contact with any node above 24 V.</w:t>
      </w:r>
    </w:p>
    <w:p>
      <w:pPr>
        <w:spacing w:after="120" w:before="80"/>
      </w:pPr>
      <w:r>
        <w:rPr>
          <w:rFonts w:ascii="Arial" w:cs="Arial" w:eastAsia="Arial" w:hAnsi="Arial"/>
          <w:sz w:val="24"/>
          <w:szCs w:val="24"/>
        </w:rPr>
        <w:t xml:space="preserve">E-Load safety objectives: (1) The MOSFETs must not exceed 150°C junction temperature at 10 A continuous discharge. (2) A hardware over-temperature shutoff thermistor circuit must de-activate the load if the heatsink temperature exceeds 70°C. (3) The AC-DC input supply must include an 8 A slow-blow fuse on the primary side.</w:t>
      </w:r>
    </w:p>
    <w:p>
      <w:pPr>
        <w:pStyle w:val="Heading2"/>
        <w:spacing w:after="100" w:before="240"/>
      </w:pPr>
      <w:r>
        <w:rPr>
          <w:rFonts w:ascii="Arial" w:cs="Arial" w:eastAsia="Arial" w:hAnsi="Arial"/>
          <w:b/>
          <w:bCs/>
          <w:sz w:val="26"/>
          <w:szCs w:val="26"/>
        </w:rPr>
        <w:t xml:space="preserve">3.7  Documentation Practices</w:t>
      </w:r>
    </w:p>
    <w:p>
      <w:pPr>
        <w:spacing w:after="120" w:before="80"/>
      </w:pPr>
      <w:r>
        <w:rPr>
          <w:rFonts w:ascii="Arial" w:cs="Arial" w:eastAsia="Arial" w:hAnsi="Arial"/>
          <w:sz w:val="24"/>
          <w:szCs w:val="24"/>
        </w:rPr>
        <w:t xml:space="preserve">All schematics and PCB layouts were versioned using Git on GitHub under a private repository shared among team members. Each major board revision was tagged with a semantic version number (e.g., bms-pcb-v1.2.0) and accompanied by a release note listing design changes and known errata. Firmware commits followed the Conventional Commits specification with scope tags (feat:, fix:, hw:, docs:). Test results were logged to a shared Google Sheet accessible to all team members, with timestamps and instrument serial numbers recorded for traceability.</w:t>
      </w:r>
    </w:p>
    <w:p>
      <w:pPr>
        <w:pStyle w:val="Heading2"/>
        <w:spacing w:after="100" w:before="240"/>
      </w:pPr>
      <w:r>
        <w:rPr>
          <w:rFonts w:ascii="Arial" w:cs="Arial" w:eastAsia="Arial" w:hAnsi="Arial"/>
          <w:b/>
          <w:bCs/>
          <w:sz w:val="26"/>
          <w:szCs w:val="26"/>
        </w:rPr>
        <w:t xml:space="preserve">3.8  Technical Risks and Mitigations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200"/>
        <w:gridCol w:w="36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BQ76930 I2C communication failure under high dV/dt switching noise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Add 100 nF bypass capacitors on all BQ76930 supply pins; use shielded I2C cable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MOSFET thermal runaway during extended discharge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Heatsink thermal model validated in LTspice; hardware shutoff at 70°C</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USB CDC disconnect under Windows power management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Set USB device descriptor to disable selective suspend; add reconnect logic in Python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Cell emulator voltage drift over temperature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Calibrate emulator resistor dividers at 25°C; record offset per cell node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PCB trace delamination at solder joints under thermal cycling</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Use ENIG finish; add thermal relief vias on all SMD pad connections to planes</w:t>
            </w:r>
          </w:p>
        </w:tc>
      </w:tr>
    </w:tbl>
    <w:p>
      <w:pPr>
        <w:spacing w:after="80" w:before="80"/>
      </w:pPr>
      <w:r>
        <w:t xml:space="preserve"/>
      </w:r>
    </w:p>
    <w:p>
      <w:pPr>
        <w:pStyle w:val="Heading2"/>
        <w:spacing w:after="100" w:before="240"/>
      </w:pPr>
      <w:r>
        <w:rPr>
          <w:rFonts w:ascii="Arial" w:cs="Arial" w:eastAsia="Arial" w:hAnsi="Arial"/>
          <w:b/>
          <w:bCs/>
          <w:sz w:val="26"/>
          <w:szCs w:val="26"/>
        </w:rPr>
        <w:t xml:space="preserve">3.9  Ethical and Environmental Considerations</w:t>
      </w:r>
    </w:p>
    <w:p>
      <w:pPr>
        <w:spacing w:after="120" w:before="80"/>
      </w:pPr>
      <w:r>
        <w:rPr>
          <w:rFonts w:ascii="Arial" w:cs="Arial" w:eastAsia="Arial" w:hAnsi="Arial"/>
          <w:sz w:val="24"/>
          <w:szCs w:val="24"/>
        </w:rPr>
        <w:t xml:space="preserve">Lithium-ion cells present disposal and recycling obligations under California's Rechargeable Battery Recycling Act (AB 1125). All cells procured for this project will be returned to a certified Call2Recycle drop-off location at end of life. The PCBs are RoHS-compliant; JLCPCB's standard process is lead-free HASL or ENIG. The E-Load dissipates heat resistively, representing a deliberate engineering choice that prioritizes testbench simplicity over energy recovery; the team acknowledges this is not appropriate for production energy storage systems.</w:t>
      </w:r>
    </w:p>
    <w:p>
      <w:r>
        <w:br w:type="page"/>
      </w:r>
    </w:p>
    <w:p>
      <w:pPr>
        <w:pStyle w:val="Heading1"/>
        <w:spacing w:after="120" w:before="360"/>
      </w:pPr>
      <w:r>
        <w:rPr>
          <w:rFonts w:ascii="Arial" w:cs="Arial" w:eastAsia="Arial" w:hAnsi="Arial"/>
          <w:b/>
          <w:bCs/>
          <w:sz w:val="32"/>
          <w:szCs w:val="32"/>
        </w:rPr>
        <w:t xml:space="preserve">4  Experiment Design and Feasibility Study</w:t>
      </w:r>
    </w:p>
    <w:p>
      <w:pPr>
        <w:spacing w:after="120" w:before="80"/>
      </w:pPr>
      <w:r>
        <w:rPr>
          <w:rFonts w:ascii="Arial" w:cs="Arial" w:eastAsia="Arial" w:hAnsi="Arial"/>
          <w:sz w:val="24"/>
          <w:szCs w:val="24"/>
        </w:rPr>
        <w:t xml:space="preserve">This chapter describes three feasibility experiments conducted prior to committing to the final hardware design. Each experiment targeted a critical and uncertain system requirement.</w:t>
      </w:r>
    </w:p>
    <w:p>
      <w:pPr>
        <w:pStyle w:val="Heading2"/>
        <w:spacing w:after="100" w:before="240"/>
      </w:pPr>
      <w:r>
        <w:rPr>
          <w:rFonts w:ascii="Arial" w:cs="Arial" w:eastAsia="Arial" w:hAnsi="Arial"/>
          <w:b/>
          <w:bCs/>
          <w:sz w:val="26"/>
          <w:szCs w:val="26"/>
        </w:rPr>
        <w:t xml:space="preserve">4.1  Experiment 1 – BMS Pack Breaker SPICE Feasibility</w:t>
      </w:r>
    </w:p>
    <w:p>
      <w:pPr>
        <w:pStyle w:val="Heading3"/>
        <w:spacing w:after="80" w:before="180"/>
      </w:pPr>
      <w:r>
        <w:rPr>
          <w:rFonts w:ascii="Arial" w:cs="Arial" w:eastAsia="Arial" w:hAnsi="Arial"/>
          <w:b/>
          <w:bCs/>
          <w:sz w:val="24"/>
          <w:szCs w:val="24"/>
        </w:rPr>
        <w:t xml:space="preserve">Objective</w:t>
      </w:r>
    </w:p>
    <w:p>
      <w:pPr>
        <w:spacing w:after="120" w:before="80"/>
      </w:pPr>
      <w:r>
        <w:rPr>
          <w:rFonts w:ascii="Arial" w:cs="Arial" w:eastAsia="Arial" w:hAnsi="Arial"/>
          <w:sz w:val="24"/>
          <w:szCs w:val="24"/>
        </w:rPr>
        <w:t xml:space="preserve">Verify that the BQ76930-controlled solid-state relay can interrupt a 10 A load current within 5 ms without exceeding the relay's rated peak current.</w:t>
      </w:r>
    </w:p>
    <w:p>
      <w:pPr>
        <w:pStyle w:val="Heading3"/>
        <w:spacing w:after="80" w:before="180"/>
      </w:pPr>
      <w:r>
        <w:rPr>
          <w:rFonts w:ascii="Arial" w:cs="Arial" w:eastAsia="Arial" w:hAnsi="Arial"/>
          <w:b/>
          <w:bCs/>
          <w:sz w:val="24"/>
          <w:szCs w:val="24"/>
        </w:rPr>
        <w:t xml:space="preserve">Setup and Equipment</w:t>
      </w:r>
    </w:p>
    <w:p>
      <w:pPr>
        <w:spacing w:after="120" w:before="80"/>
      </w:pPr>
      <w:r>
        <w:rPr>
          <w:rFonts w:ascii="Arial" w:cs="Arial" w:eastAsia="Arial" w:hAnsi="Arial"/>
          <w:sz w:val="24"/>
          <w:szCs w:val="24"/>
        </w:rPr>
        <w:t xml:space="preserve">A SPICE simulation was constructed in LTspice XVII modeling the 10s1p pack as a 36 V ideal voltage source with a 200 mΩ internal resistance, the relay as a voltage-controlled switch (Vt = 2.5 V, Ron = 25 mΩ), and the load as a 3.6 Ω resistor (producing 10 A). The BQ76930 DSG pin was modeled as a 5 V logic-level signal driving the relay gate through a 1 kΩ resistor. Responsible: Connor Stewart.</w:t>
      </w:r>
    </w:p>
    <w:p>
      <w:pPr>
        <w:pStyle w:val="Heading3"/>
        <w:spacing w:after="80" w:before="180"/>
      </w:pPr>
      <w:r>
        <w:rPr>
          <w:rFonts w:ascii="Arial" w:cs="Arial" w:eastAsia="Arial" w:hAnsi="Arial"/>
          <w:b/>
          <w:bCs/>
          <w:sz w:val="24"/>
          <w:szCs w:val="24"/>
        </w:rPr>
        <w:t xml:space="preserve">Procedure</w:t>
      </w:r>
    </w:p>
    <w:p>
      <w:pPr>
        <w:spacing w:after="120" w:before="80"/>
      </w:pPr>
      <w:r>
        <w:rPr>
          <w:rFonts w:ascii="Arial" w:cs="Arial" w:eastAsia="Arial" w:hAnsi="Arial"/>
          <w:sz w:val="24"/>
          <w:szCs w:val="24"/>
        </w:rPr>
        <w:t xml:space="preserve">1. Run DC operating point to confirm 10 A steady-state current. 2. Apply a step function to the DSG node at t = 0 ms (V drops from 5 V to 0 V, simulating an OC trip). 3. Measure the time from DSG falling edge to relay current reaching zero. 4. Record peak reverse voltage across the relay contacts.</w:t>
      </w:r>
    </w:p>
    <w:p>
      <w:pPr>
        <w:pStyle w:val="Heading3"/>
        <w:spacing w:after="80" w:before="180"/>
      </w:pPr>
      <w:r>
        <w:rPr>
          <w:rFonts w:ascii="Arial" w:cs="Arial" w:eastAsia="Arial" w:hAnsi="Arial"/>
          <w:b/>
          <w:bCs/>
          <w:sz w:val="24"/>
          <w:szCs w:val="24"/>
        </w:rPr>
        <w:t xml:space="preserve">Expected Results</w:t>
      </w:r>
    </w:p>
    <w:p>
      <w:pPr>
        <w:spacing w:after="120" w:before="80"/>
      </w:pPr>
      <w:r>
        <w:rPr>
          <w:rFonts w:ascii="Arial" w:cs="Arial" w:eastAsia="Arial" w:hAnsi="Arial"/>
          <w:sz w:val="24"/>
          <w:szCs w:val="24"/>
        </w:rPr>
        <w:t xml:space="preserve">The relay should interrupt current within 2 ms, well under the 5 ms requirement. Peak contact voltage should remain below the relay's 60 V transient rating.</w:t>
      </w:r>
    </w:p>
    <w:p>
      <w:pPr>
        <w:pStyle w:val="Heading2"/>
        <w:spacing w:after="100" w:before="240"/>
      </w:pPr>
      <w:r>
        <w:rPr>
          <w:rFonts w:ascii="Arial" w:cs="Arial" w:eastAsia="Arial" w:hAnsi="Arial"/>
          <w:b/>
          <w:bCs/>
          <w:sz w:val="26"/>
          <w:szCs w:val="26"/>
        </w:rPr>
        <w:t xml:space="preserve">4.2  Experiment 2 – AC Rectifier Feasibility</w:t>
      </w:r>
    </w:p>
    <w:p>
      <w:pPr>
        <w:pStyle w:val="Heading3"/>
        <w:spacing w:after="80" w:before="180"/>
      </w:pPr>
      <w:r>
        <w:rPr>
          <w:rFonts w:ascii="Arial" w:cs="Arial" w:eastAsia="Arial" w:hAnsi="Arial"/>
          <w:b/>
          <w:bCs/>
          <w:sz w:val="24"/>
          <w:szCs w:val="24"/>
        </w:rPr>
        <w:t xml:space="preserve">Objective</w:t>
      </w:r>
    </w:p>
    <w:p>
      <w:pPr>
        <w:spacing w:after="120" w:before="80"/>
      </w:pPr>
      <w:r>
        <w:rPr>
          <w:rFonts w:ascii="Arial" w:cs="Arial" w:eastAsia="Arial" w:hAnsi="Arial"/>
          <w:sz w:val="24"/>
          <w:szCs w:val="24"/>
        </w:rPr>
        <w:t xml:space="preserve">Confirm that a standard AC-DC supply module provides a stable DC rail suitable for powering the E-Load MOSFETs and fan at 16 V ± 5%.</w:t>
      </w:r>
    </w:p>
    <w:p>
      <w:pPr>
        <w:pStyle w:val="Heading3"/>
        <w:spacing w:after="80" w:before="180"/>
      </w:pPr>
      <w:r>
        <w:rPr>
          <w:rFonts w:ascii="Arial" w:cs="Arial" w:eastAsia="Arial" w:hAnsi="Arial"/>
          <w:b/>
          <w:bCs/>
          <w:sz w:val="24"/>
          <w:szCs w:val="24"/>
        </w:rPr>
        <w:t xml:space="preserve">Setup and Equipment</w:t>
      </w:r>
    </w:p>
    <w:p>
      <w:pPr>
        <w:spacing w:after="120" w:before="80"/>
      </w:pPr>
      <w:r>
        <w:rPr>
          <w:rFonts w:ascii="Arial" w:cs="Arial" w:eastAsia="Arial" w:hAnsi="Arial"/>
          <w:sz w:val="24"/>
          <w:szCs w:val="24"/>
        </w:rPr>
        <w:t xml:space="preserve">A bench-top AC-DC switching power supply module rated at 24 V / 5 A was connected to 120 VAC mains through a variac set to 120 V. Output voltage was measured with the Keysight 34461A DMM under a resistive load of 4.8 Ω (5 A). Ripple was measured with the Keysight DSOX1204G oscilloscope at 20 MHz bandwidth. Responsible: Christian Kim.</w:t>
      </w:r>
    </w:p>
    <w:p>
      <w:pPr>
        <w:pStyle w:val="Heading3"/>
        <w:spacing w:after="80" w:before="180"/>
      </w:pPr>
      <w:r>
        <w:rPr>
          <w:rFonts w:ascii="Arial" w:cs="Arial" w:eastAsia="Arial" w:hAnsi="Arial"/>
          <w:b/>
          <w:bCs/>
          <w:sz w:val="24"/>
          <w:szCs w:val="24"/>
        </w:rPr>
        <w:t xml:space="preserve">Procedure</w:t>
      </w:r>
    </w:p>
    <w:p>
      <w:pPr>
        <w:spacing w:after="120" w:before="80"/>
      </w:pPr>
      <w:r>
        <w:rPr>
          <w:rFonts w:ascii="Arial" w:cs="Arial" w:eastAsia="Arial" w:hAnsi="Arial"/>
          <w:sz w:val="24"/>
          <w:szCs w:val="24"/>
        </w:rPr>
        <w:t xml:space="preserve">1. Connect supply module to variac (120 VAC). 2. Attach resistive load. 3. Measure DC output voltage at no-load and full load (5 A). 4. Measure peak-to-peak ripple voltage. 5. Record results against the ±5% tolerance of 16 V nominal (15.2–16.8 V).</w:t>
      </w:r>
    </w:p>
    <w:p>
      <w:pPr>
        <w:pStyle w:val="Heading3"/>
        <w:spacing w:after="80" w:before="180"/>
      </w:pPr>
      <w:r>
        <w:rPr>
          <w:rFonts w:ascii="Arial" w:cs="Arial" w:eastAsia="Arial" w:hAnsi="Arial"/>
          <w:b/>
          <w:bCs/>
          <w:sz w:val="24"/>
          <w:szCs w:val="24"/>
        </w:rPr>
        <w:t xml:space="preserve">Expected Results</w:t>
      </w:r>
    </w:p>
    <w:p>
      <w:pPr>
        <w:spacing w:after="120" w:before="80"/>
      </w:pPr>
      <w:r>
        <w:rPr>
          <w:rFonts w:ascii="Arial" w:cs="Arial" w:eastAsia="Arial" w:hAnsi="Arial"/>
          <w:sz w:val="24"/>
          <w:szCs w:val="24"/>
        </w:rPr>
        <w:t xml:space="preserve">DC output should measure 16.0 ± 0.8 V at full load with ripple below 100 mV peak-to-peak.</w:t>
      </w:r>
    </w:p>
    <w:p>
      <w:pPr>
        <w:pStyle w:val="Heading2"/>
        <w:spacing w:after="100" w:before="240"/>
      </w:pPr>
      <w:r>
        <w:rPr>
          <w:rFonts w:ascii="Arial" w:cs="Arial" w:eastAsia="Arial" w:hAnsi="Arial"/>
          <w:b/>
          <w:bCs/>
          <w:sz w:val="26"/>
          <w:szCs w:val="26"/>
        </w:rPr>
        <w:t xml:space="preserve">4.3  Experiment 3 – Cell Emulator Voltage Accuracy</w:t>
      </w:r>
    </w:p>
    <w:p>
      <w:pPr>
        <w:pStyle w:val="Heading3"/>
        <w:spacing w:after="80" w:before="180"/>
      </w:pPr>
      <w:r>
        <w:rPr>
          <w:rFonts w:ascii="Arial" w:cs="Arial" w:eastAsia="Arial" w:hAnsi="Arial"/>
          <w:b/>
          <w:bCs/>
          <w:sz w:val="24"/>
          <w:szCs w:val="24"/>
        </w:rPr>
        <w:t xml:space="preserve">Objective</w:t>
      </w:r>
    </w:p>
    <w:p>
      <w:pPr>
        <w:spacing w:after="120" w:before="80"/>
      </w:pPr>
      <w:r>
        <w:rPr>
          <w:rFonts w:ascii="Arial" w:cs="Arial" w:eastAsia="Arial" w:hAnsi="Arial"/>
          <w:sz w:val="24"/>
          <w:szCs w:val="24"/>
        </w:rPr>
        <w:t xml:space="preserve">Validate that the resistive voltage divider cell emulator PCB produces per-cell node voltages within ±20 mV of their design values before the BMS PCB is connected.</w:t>
      </w:r>
    </w:p>
    <w:p>
      <w:pPr>
        <w:pStyle w:val="Heading3"/>
        <w:spacing w:after="80" w:before="180"/>
      </w:pPr>
      <w:r>
        <w:rPr>
          <w:rFonts w:ascii="Arial" w:cs="Arial" w:eastAsia="Arial" w:hAnsi="Arial"/>
          <w:b/>
          <w:bCs/>
          <w:sz w:val="24"/>
          <w:szCs w:val="24"/>
        </w:rPr>
        <w:t xml:space="preserve">Setup and Equipment</w:t>
      </w:r>
    </w:p>
    <w:p>
      <w:pPr>
        <w:spacing w:after="120" w:before="80"/>
      </w:pPr>
      <w:r>
        <w:rPr>
          <w:rFonts w:ascii="Arial" w:cs="Arial" w:eastAsia="Arial" w:hAnsi="Arial"/>
          <w:sz w:val="24"/>
          <w:szCs w:val="24"/>
        </w:rPr>
        <w:t xml:space="preserve">The cell emulator PCB was powered by a bench supply set to 36 V (simulating a discharged 10s pack). The ten inter-cell node voltages were measured sequentially with the Keysight 34461A DMM, probing the JST connector pads. Responsible: Connor Stewart and Nick Pham.</w:t>
      </w:r>
    </w:p>
    <w:p>
      <w:pPr>
        <w:pStyle w:val="Heading3"/>
        <w:spacing w:after="80" w:before="180"/>
      </w:pPr>
      <w:r>
        <w:rPr>
          <w:rFonts w:ascii="Arial" w:cs="Arial" w:eastAsia="Arial" w:hAnsi="Arial"/>
          <w:b/>
          <w:bCs/>
          <w:sz w:val="24"/>
          <w:szCs w:val="24"/>
        </w:rPr>
        <w:t xml:space="preserve">Procedure</w:t>
      </w:r>
    </w:p>
    <w:p>
      <w:pPr>
        <w:spacing w:after="120" w:before="80"/>
      </w:pPr>
      <w:r>
        <w:rPr>
          <w:rFonts w:ascii="Arial" w:cs="Arial" w:eastAsia="Arial" w:hAnsi="Arial"/>
          <w:sz w:val="24"/>
          <w:szCs w:val="24"/>
        </w:rPr>
        <w:t xml:space="preserve">1. Apply 36 V to emulator input terminals. 2. Measure each of the 10 cell node voltages (V1 through V10) relative to the pack negative terminal. 3. Calculate per-cell voltage as ΔV = V_n − V_{n−1}. 4. Compare each ΔV to the design target of 3.6 V. 5. Record max absolute error.</w:t>
      </w:r>
    </w:p>
    <w:p>
      <w:pPr>
        <w:pStyle w:val="Heading3"/>
        <w:spacing w:after="80" w:before="180"/>
      </w:pPr>
      <w:r>
        <w:rPr>
          <w:rFonts w:ascii="Arial" w:cs="Arial" w:eastAsia="Arial" w:hAnsi="Arial"/>
          <w:b/>
          <w:bCs/>
          <w:sz w:val="24"/>
          <w:szCs w:val="24"/>
        </w:rPr>
        <w:t xml:space="preserve">Expected Results</w:t>
      </w:r>
    </w:p>
    <w:p>
      <w:pPr>
        <w:spacing w:after="120" w:before="80"/>
      </w:pPr>
      <w:r>
        <w:rPr>
          <w:rFonts w:ascii="Arial" w:cs="Arial" w:eastAsia="Arial" w:hAnsi="Arial"/>
          <w:sz w:val="24"/>
          <w:szCs w:val="24"/>
        </w:rPr>
        <w:t xml:space="preserve">All 10 cell node voltages should be within ±20 mV of their target values, confirming the emulator is suitable as a BMS input stimulus.</w:t>
      </w:r>
    </w:p>
    <w:p>
      <w:pPr>
        <w:pStyle w:val="Heading2"/>
        <w:spacing w:after="100" w:before="240"/>
      </w:pPr>
      <w:r>
        <w:rPr>
          <w:rFonts w:ascii="Arial" w:cs="Arial" w:eastAsia="Arial" w:hAnsi="Arial"/>
          <w:b/>
          <w:bCs/>
          <w:sz w:val="26"/>
          <w:szCs w:val="26"/>
        </w:rPr>
        <w:t xml:space="preserve">4.4  Experiment Results</w:t>
      </w:r>
    </w:p>
    <w:p>
      <w:pPr>
        <w:pStyle w:val="Heading3"/>
        <w:spacing w:after="80" w:before="180"/>
      </w:pPr>
      <w:r>
        <w:rPr>
          <w:rFonts w:ascii="Arial" w:cs="Arial" w:eastAsia="Arial" w:hAnsi="Arial"/>
          <w:b/>
          <w:bCs/>
          <w:sz w:val="24"/>
          <w:szCs w:val="24"/>
        </w:rPr>
        <w:t xml:space="preserve">Experiment 1 Results</w:t>
      </w:r>
    </w:p>
    <w:p>
      <w:pPr>
        <w:spacing w:after="120" w:before="80"/>
      </w:pPr>
      <w:r>
        <w:rPr>
          <w:rFonts w:ascii="Arial" w:cs="Arial" w:eastAsia="Arial" w:hAnsi="Arial"/>
          <w:sz w:val="24"/>
          <w:szCs w:val="24"/>
        </w:rPr>
        <w:t xml:space="preserve">The LTspice simulation showed relay current falling from 10 A to 0 A in 1.4 ms following the DSG falling edge. Peak reverse contact voltage reached 38 V, well below the 60 V transient rating. The result confirms the pack breaker architecture meets the 5 ms interruption requirement with greater than 3× margin.</w:t>
      </w:r>
    </w:p>
    <w:p>
      <w:pPr>
        <w:pStyle w:val="Heading3"/>
        <w:spacing w:after="80" w:before="180"/>
      </w:pPr>
      <w:r>
        <w:rPr>
          <w:rFonts w:ascii="Arial" w:cs="Arial" w:eastAsia="Arial" w:hAnsi="Arial"/>
          <w:b/>
          <w:bCs/>
          <w:sz w:val="24"/>
          <w:szCs w:val="24"/>
        </w:rPr>
        <w:t xml:space="preserve">Experiment 2 Results</w:t>
      </w:r>
    </w:p>
    <w:p>
      <w:pPr>
        <w:spacing w:after="120" w:before="80"/>
      </w:pPr>
      <w:r>
        <w:rPr>
          <w:rFonts w:ascii="Arial" w:cs="Arial" w:eastAsia="Arial" w:hAnsi="Arial"/>
          <w:sz w:val="24"/>
          <w:szCs w:val="24"/>
        </w:rPr>
        <w:t xml:space="preserve">The AC-DC supply module delivered 16.0 V DC at no load and 15.9 V at 5 A load, representing a load regulation of 0.6% — within the ±5% tolerance band. Peak-to-peak ripple measured 42 mV at full load. These results confirm the supply is suitable for powering the E-Load subsystem.</w:t>
      </w:r>
    </w:p>
    <w:p>
      <w:pPr>
        <w:pStyle w:val="Heading3"/>
        <w:spacing w:after="80" w:before="180"/>
      </w:pPr>
      <w:r>
        <w:rPr>
          <w:rFonts w:ascii="Arial" w:cs="Arial" w:eastAsia="Arial" w:hAnsi="Arial"/>
          <w:b/>
          <w:bCs/>
          <w:sz w:val="24"/>
          <w:szCs w:val="24"/>
        </w:rPr>
        <w:t xml:space="preserve">Experiment 3 Results</w:t>
      </w:r>
    </w:p>
    <w:p>
      <w:pPr>
        <w:spacing w:after="120" w:before="80"/>
      </w:pPr>
      <w:r>
        <w:rPr>
          <w:rFonts w:ascii="Arial" w:cs="Arial" w:eastAsia="Arial" w:hAnsi="Arial"/>
          <w:sz w:val="24"/>
          <w:szCs w:val="24"/>
        </w:rPr>
        <w:t xml:space="preserve">All 10 cell node voltages fell within ±10 mV of their 3.6 V targets. The maximum single-cell error was −9.4 mV on cell 7, driven by a 0.26% resistor tolerance stack-up. The ±10 mV measured accuracy is twice as accurate as the ±20 mV design requirement, confirming the cell emulator is a valid BMS input stimulus for all subsequent validation testing.</w:t>
      </w:r>
    </w:p>
    <w:p>
      <w:r>
        <w:br w:type="page"/>
      </w:r>
    </w:p>
    <w:p>
      <w:pPr>
        <w:pStyle w:val="Heading1"/>
        <w:spacing w:after="120" w:before="360"/>
      </w:pPr>
      <w:r>
        <w:rPr>
          <w:rFonts w:ascii="Arial" w:cs="Arial" w:eastAsia="Arial" w:hAnsi="Arial"/>
          <w:b/>
          <w:bCs/>
          <w:sz w:val="32"/>
          <w:szCs w:val="32"/>
        </w:rPr>
        <w:t xml:space="preserve">5  Architecture and High Level Design</w:t>
      </w:r>
    </w:p>
    <w:p>
      <w:pPr>
        <w:pStyle w:val="Heading2"/>
        <w:spacing w:after="100" w:before="240"/>
      </w:pPr>
      <w:r>
        <w:rPr>
          <w:rFonts w:ascii="Arial" w:cs="Arial" w:eastAsia="Arial" w:hAnsi="Arial"/>
          <w:b/>
          <w:bCs/>
          <w:sz w:val="26"/>
          <w:szCs w:val="26"/>
        </w:rPr>
        <w:t xml:space="preserve">5.1  System-Level Architecture</w:t>
      </w:r>
    </w:p>
    <w:p>
      <w:pPr>
        <w:spacing w:after="120" w:before="80"/>
      </w:pPr>
      <w:r>
        <w:rPr>
          <w:rFonts w:ascii="Arial" w:cs="Arial" w:eastAsia="Arial" w:hAnsi="Arial"/>
          <w:sz w:val="24"/>
          <w:szCs w:val="24"/>
        </w:rPr>
        <w:t xml:space="preserve">The BMS testbench is organized into three functional domains: the Battery Unit, the Testbench, and the Operator Station. These domains communicate through two physical interfaces—a USB cable carrying the CDC serial protocol and a 10 A discharge cable connecting the pack to the E-Load—and one logical interface, the PyQt6 application, which bridges hardware telemetry to the operator-facing dashboard.</w:t>
      </w:r>
    </w:p>
    <w:p>
      <w:pPr>
        <w:spacing w:after="120" w:before="80"/>
      </w:pPr>
      <w:r>
        <w:rPr>
          <w:rFonts w:ascii="Arial" w:cs="Arial" w:eastAsia="Arial" w:hAnsi="Arial"/>
          <w:sz w:val="24"/>
          <w:szCs w:val="24"/>
        </w:rPr>
        <w:t xml:space="preserve">The Battery Unit encompasses the 10s1p Molicel P42A cell stack, the BMS PCB (hosting the BQ76930 AFE and STM32F303RCT6 MCU), and the solid-state relay pack breaker. The BMS PCB is responsible for all cell-level measurement, fault detection, and pack protection. It is the only subsystem with direct electrical access to the high-voltage rail.</w:t>
      </w:r>
    </w:p>
    <w:p>
      <w:pPr>
        <w:spacing w:after="120" w:before="80"/>
      </w:pPr>
      <w:r>
        <w:rPr>
          <w:rFonts w:ascii="Arial" w:cs="Arial" w:eastAsia="Arial" w:hAnsi="Arial"/>
          <w:sz w:val="24"/>
          <w:szCs w:val="24"/>
        </w:rPr>
        <w:t xml:space="preserve">The Testbench domain contains the E-Load PCB, the power supply board (LM76005 + LMR36015 rails), and the cell emulator PCB. The E-Load receives a discharge current set-point from the operator station, converts it to an analog reference voltage via the MCP4725 DAC, and regulates MOSFET drain current through the AD8630 feedback loop. The cell emulator provides a safe, reproducible substitute for the live pack during early-stage firmware testing.</w:t>
      </w:r>
    </w:p>
    <w:p>
      <w:pPr>
        <w:spacing w:after="120" w:before="80"/>
      </w:pPr>
      <w:r>
        <w:rPr>
          <w:rFonts w:ascii="Arial" w:cs="Arial" w:eastAsia="Arial" w:hAnsi="Arial"/>
          <w:sz w:val="24"/>
          <w:szCs w:val="24"/>
        </w:rPr>
        <w:t xml:space="preserve">The Operator Station is a host computer (NVIDIA Jetson AGX Orin in the final deployment; any Python 3.11-capable Linux or Windows machine during development) running the PyQt6 dashboard application. The application opens the USB CDC port, sends configuration commands to the BMS MCU, receives a 100-byte telemetry frame at 10 Hz, decodes the frame, and forwards the decoded values to the Three.js frontend via QWebChannel at the same rate.</w:t>
      </w:r>
    </w:p>
    <w:p>
      <w:pPr>
        <w:pStyle w:val="Heading2"/>
        <w:spacing w:after="100" w:before="240"/>
      </w:pPr>
      <w:r>
        <w:rPr>
          <w:rFonts w:ascii="Arial" w:cs="Arial" w:eastAsia="Arial" w:hAnsi="Arial"/>
          <w:b/>
          <w:bCs/>
          <w:sz w:val="26"/>
          <w:szCs w:val="26"/>
        </w:rPr>
        <w:t xml:space="preserve">5.2  Hardware Architecture – BMS PCB</w:t>
      </w:r>
    </w:p>
    <w:p>
      <w:pPr>
        <w:pStyle w:val="Heading3"/>
        <w:spacing w:after="80" w:before="180"/>
      </w:pPr>
      <w:r>
        <w:rPr>
          <w:rFonts w:ascii="Arial" w:cs="Arial" w:eastAsia="Arial" w:hAnsi="Arial"/>
          <w:b/>
          <w:bCs/>
          <w:sz w:val="24"/>
          <w:szCs w:val="24"/>
        </w:rPr>
        <w:t xml:space="preserve">Power Supply Domain</w:t>
      </w:r>
    </w:p>
    <w:p>
      <w:pPr>
        <w:spacing w:after="120" w:before="80"/>
      </w:pPr>
      <w:r>
        <w:rPr>
          <w:rFonts w:ascii="Arial" w:cs="Arial" w:eastAsia="Arial" w:hAnsi="Arial"/>
          <w:sz w:val="24"/>
          <w:szCs w:val="24"/>
        </w:rPr>
        <w:t xml:space="preserve">The BMS PCB derives operating power from the battery pack itself. A TI LM76005RNPR synchronous buck regulator steps the 30–42 V pack voltage down to a regulated 12 V rail capable of supplying 5 A. A second TI LMR36015FADDAR synchronous buck regulator steps the 12 V rail down to 3.3 V for all digital logic and the BQ76930 supply pins. Both regulators operate in continuous conduction mode with external Schottky diodes and ceramic bulk capacitors. The 12 V rail also drives the solid-state relay coil and the status LED array.</w:t>
      </w:r>
    </w:p>
    <w:p>
      <w:pPr>
        <w:pStyle w:val="Heading3"/>
        <w:spacing w:after="80" w:before="180"/>
      </w:pPr>
      <w:r>
        <w:rPr>
          <w:rFonts w:ascii="Arial" w:cs="Arial" w:eastAsia="Arial" w:hAnsi="Arial"/>
          <w:b/>
          <w:bCs/>
          <w:sz w:val="24"/>
          <w:szCs w:val="24"/>
        </w:rPr>
        <w:t xml:space="preserve">Cell Supervision – BQ76930</w:t>
      </w:r>
    </w:p>
    <w:p>
      <w:pPr>
        <w:spacing w:after="120" w:before="80"/>
      </w:pPr>
      <w:r>
        <w:rPr>
          <w:rFonts w:ascii="Arial" w:cs="Arial" w:eastAsia="Arial" w:hAnsi="Arial"/>
          <w:sz w:val="24"/>
          <w:szCs w:val="24"/>
        </w:rPr>
        <w:t xml:space="preserve">The BQ76930 Analog Front End directly supervises all 10 cell voltage rails through a configurable cell-tap resistor network. In the 10-cell configuration, pins VC1 through VC10 connect to each inter-cell node and the top-of-stack terminal through 18 Ω resistors that limit in-rush current during fault events. The BQ76930 integrates a 14-bit ADC that digitizes each cell voltage with 1.2 mV resolution. The IC's internal comparators autonomously enforce overvoltage (OV), undervoltage (UV), overcurrent-in-discharge (OCD), and short-circuit-in-discharge (SCD) thresholds without MCU intervention, allowing hardware protection to operate even if the firmware is unresponsive. The BQ76930 communicates with the STM32 over a 400 kHz fast-mode I2C bus using address 0x08.</w:t>
      </w:r>
    </w:p>
    <w:p>
      <w:pPr>
        <w:pStyle w:val="Heading3"/>
        <w:spacing w:after="80" w:before="180"/>
      </w:pPr>
      <w:r>
        <w:rPr>
          <w:rFonts w:ascii="Arial" w:cs="Arial" w:eastAsia="Arial" w:hAnsi="Arial"/>
          <w:b/>
          <w:bCs/>
          <w:sz w:val="24"/>
          <w:szCs w:val="24"/>
        </w:rPr>
        <w:t xml:space="preserve">Microcontroller – STM32F303RCT6</w:t>
      </w:r>
    </w:p>
    <w:p>
      <w:pPr>
        <w:spacing w:after="120" w:before="80"/>
      </w:pPr>
      <w:r>
        <w:rPr>
          <w:rFonts w:ascii="Arial" w:cs="Arial" w:eastAsia="Arial" w:hAnsi="Arial"/>
          <w:sz w:val="24"/>
          <w:szCs w:val="24"/>
        </w:rPr>
        <w:t xml:space="preserve">The STM32F303RCT6 (ARM Cortex-M4 at 72 MHz) serves as the intelligence layer between the BQ76930 and the USB host. It polls the BQ76930 ADC registers at 10 Hz over I2C using DMA-backed transfers, packs the 10 cell voltages (2 bytes each), pack voltage, pack current (from an INA226 shunt monitor on the negative terminal), die temperature, and fault flags into a 100-byte little-endian frame, appends a CRC-16 checksum, and transmits the frame over the USB CDC interface. The MCU also decodes configuration commands (set OV/UV thresholds, enable/disable balancing channels, clear faults) received from the host and writes the corresponding BQ76930 register values over I2C.</w:t>
      </w:r>
    </w:p>
    <w:p>
      <w:pPr>
        <w:pStyle w:val="Heading3"/>
        <w:spacing w:after="80" w:before="180"/>
      </w:pPr>
      <w:r>
        <w:rPr>
          <w:rFonts w:ascii="Arial" w:cs="Arial" w:eastAsia="Arial" w:hAnsi="Arial"/>
          <w:b/>
          <w:bCs/>
          <w:sz w:val="24"/>
          <w:szCs w:val="24"/>
        </w:rPr>
        <w:t xml:space="preserve">Pack Breaker</w:t>
      </w:r>
    </w:p>
    <w:p>
      <w:pPr>
        <w:spacing w:after="120" w:before="80"/>
      </w:pPr>
      <w:r>
        <w:rPr>
          <w:rFonts w:ascii="Arial" w:cs="Arial" w:eastAsia="Arial" w:hAnsi="Arial"/>
          <w:sz w:val="24"/>
          <w:szCs w:val="24"/>
        </w:rPr>
        <w:t xml:space="preserve">The pack breaker consists of a 40 A solid-state relay (SPST, normally open) placed in series with the pack negative terminal. The relay coil is driven by the BQ76930's DSG (discharge enable) output pin through a 2N7002 level-shifter transistor. When the BQ76930 detects a fault, it pulls DSG low within one protection delay period (programmable; set to 8 ms for OCD, hardware-fixed at 70 µs for SCD), which turns off the transistor and opens the relay. The relay is rated for 40 A continuous and 250 A peak for 10 ms, providing adequate margin for the 10 A operating point.</w:t>
      </w:r>
    </w:p>
    <w:p>
      <w:pPr>
        <w:pStyle w:val="Heading2"/>
        <w:spacing w:after="100" w:before="240"/>
      </w:pPr>
      <w:r>
        <w:rPr>
          <w:rFonts w:ascii="Arial" w:cs="Arial" w:eastAsia="Arial" w:hAnsi="Arial"/>
          <w:b/>
          <w:bCs/>
          <w:sz w:val="26"/>
          <w:szCs w:val="26"/>
        </w:rPr>
        <w:t xml:space="preserve">5.3  Hardware Architecture – E-Load PCB</w:t>
      </w:r>
    </w:p>
    <w:p>
      <w:pPr>
        <w:pStyle w:val="Heading3"/>
        <w:spacing w:after="80" w:before="180"/>
      </w:pPr>
      <w:r>
        <w:rPr>
          <w:rFonts w:ascii="Arial" w:cs="Arial" w:eastAsia="Arial" w:hAnsi="Arial"/>
          <w:b/>
          <w:bCs/>
          <w:sz w:val="24"/>
          <w:szCs w:val="24"/>
        </w:rPr>
        <w:t xml:space="preserve">Input Power</w:t>
      </w:r>
    </w:p>
    <w:p>
      <w:pPr>
        <w:spacing w:after="120" w:before="80"/>
      </w:pPr>
      <w:r>
        <w:rPr>
          <w:rFonts w:ascii="Arial" w:cs="Arial" w:eastAsia="Arial" w:hAnsi="Arial"/>
          <w:sz w:val="24"/>
          <w:szCs w:val="24"/>
        </w:rPr>
        <w:t xml:space="preserve">The E-Load PCB receives 16 V DC from a bench-top 120 VAC switching supply through a 5.5 mm barrel connector with an 8 A slow-blow fuse on the AC primary. The 16 V rail powers the MCP4725 DAC (via a 3.3 V LDO), the AD8630 op-amp, the control STM32, and the 80 mm cooling fan.</w:t>
      </w:r>
    </w:p>
    <w:p>
      <w:pPr>
        <w:pStyle w:val="Heading3"/>
        <w:spacing w:after="80" w:before="180"/>
      </w:pPr>
      <w:r>
        <w:rPr>
          <w:rFonts w:ascii="Arial" w:cs="Arial" w:eastAsia="Arial" w:hAnsi="Arial"/>
          <w:b/>
          <w:bCs/>
          <w:sz w:val="24"/>
          <w:szCs w:val="24"/>
        </w:rPr>
        <w:t xml:space="preserve">Current Control Loop</w:t>
      </w:r>
    </w:p>
    <w:p>
      <w:pPr>
        <w:spacing w:after="120" w:before="80"/>
      </w:pPr>
      <w:r>
        <w:rPr>
          <w:rFonts w:ascii="Arial" w:cs="Arial" w:eastAsia="Arial" w:hAnsi="Arial"/>
          <w:sz w:val="24"/>
          <w:szCs w:val="24"/>
        </w:rPr>
        <w:t xml:space="preserve">The desired discharge current is communicated to the E-Load STM32 from the operator station over a second USB CDC channel. The STM32 translates the set-point (in milliamps) to a 12-bit DAC code and writes it to the MCP4725 over I2C. The MCP4725 outputs an analog voltage on a 0–3.3 V range (0 V = 0 A, 3.3 V = 10 A). This reference voltage feeds the non-inverting input of the AD8630 op-amp. The AD8630's inverting input is connected to the voltage across a 0.01 Ω, 5 W sense resistor in series with the MOSFET source terminals. The op-amp drives the gates of two parallel IRFP250N N-channel MOSFETs. The MOSFET drains connect to the pack positive terminal through the discharge cable; the sources return to the pack negative terminal through the sense resistor. The closed-loop architecture forces the sense voltage to equal the DAC reference, maintaining drain current at the programmed set-point regardless of pack voltage variation.</w:t>
      </w:r>
    </w:p>
    <w:p>
      <w:pPr>
        <w:pStyle w:val="Heading3"/>
        <w:spacing w:after="80" w:before="180"/>
      </w:pPr>
      <w:r>
        <w:rPr>
          <w:rFonts w:ascii="Arial" w:cs="Arial" w:eastAsia="Arial" w:hAnsi="Arial"/>
          <w:b/>
          <w:bCs/>
          <w:sz w:val="24"/>
          <w:szCs w:val="24"/>
        </w:rPr>
        <w:t xml:space="preserve">Thermal Management</w:t>
      </w:r>
    </w:p>
    <w:p>
      <w:pPr>
        <w:spacing w:after="120" w:before="80"/>
      </w:pPr>
      <w:r>
        <w:rPr>
          <w:rFonts w:ascii="Arial" w:cs="Arial" w:eastAsia="Arial" w:hAnsi="Arial"/>
          <w:sz w:val="24"/>
          <w:szCs w:val="24"/>
        </w:rPr>
        <w:t xml:space="preserve">The two IRFP250N MOSFETs are mounted on a shared 150×120×40 mm aluminum heatsink with thermal pads rated at 0.5 K/W. At 10 A and 36 V pack voltage with a 16 V supply rail, each MOSFET dissipates approximately 100 W (10 A × 10 V Vds). The heatsink-to-ambient thermal resistance of 0.12 K/W produces a 24°C temperature rise above ambient at 200 W total, yielding a heatsink temperature of approximately 44°C at 20°C ambient—well within the 70°C hardware shutoff threshold. A 10 kΩ NTC thermistor glued to the heatsink surface feeds an ADC input on the E-Load STM32; firmware shuts off the DAC output if the thermistor reading exceeds 70°C.</w:t>
      </w:r>
    </w:p>
    <w:p>
      <w:pPr>
        <w:pStyle w:val="Heading2"/>
        <w:spacing w:after="100" w:before="240"/>
      </w:pPr>
      <w:r>
        <w:rPr>
          <w:rFonts w:ascii="Arial" w:cs="Arial" w:eastAsia="Arial" w:hAnsi="Arial"/>
          <w:b/>
          <w:bCs/>
          <w:sz w:val="26"/>
          <w:szCs w:val="26"/>
        </w:rPr>
        <w:t xml:space="preserve">5.4  Software Architecture</w:t>
      </w:r>
    </w:p>
    <w:p>
      <w:pPr>
        <w:spacing w:after="120" w:before="80"/>
      </w:pPr>
      <w:r>
        <w:rPr>
          <w:rFonts w:ascii="Arial" w:cs="Arial" w:eastAsia="Arial" w:hAnsi="Arial"/>
          <w:sz w:val="24"/>
          <w:szCs w:val="24"/>
        </w:rPr>
        <w:t xml:space="preserve">The software stack is organized into three layers: the STM32 Firmware layer, the Python Backend layer, and the Web Frontend layer.</w:t>
      </w:r>
    </w:p>
    <w:p>
      <w:pPr>
        <w:pStyle w:val="Heading3"/>
        <w:spacing w:after="80" w:before="180"/>
      </w:pPr>
      <w:r>
        <w:rPr>
          <w:rFonts w:ascii="Arial" w:cs="Arial" w:eastAsia="Arial" w:hAnsi="Arial"/>
          <w:b/>
          <w:bCs/>
          <w:sz w:val="24"/>
          <w:szCs w:val="24"/>
        </w:rPr>
        <w:t xml:space="preserve">Layer 1 – STM32 Firmware (C / HAL)</w:t>
      </w:r>
    </w:p>
    <w:p>
      <w:pPr>
        <w:spacing w:after="120" w:before="80"/>
      </w:pPr>
      <w:r>
        <w:rPr>
          <w:rFonts w:ascii="Arial" w:cs="Arial" w:eastAsia="Arial" w:hAnsi="Arial"/>
          <w:sz w:val="24"/>
          <w:szCs w:val="24"/>
        </w:rPr>
        <w:t xml:space="preserve">The firmware runs on both the BMS and E-Load STM32s. On the BMS MCU, the firmware initializes all peripherals (I2C1, USB CDC, TIM6 for 10 Hz polling tick, EXTI for BQ76930 ALERT pin), configures the BQ76930 protection thresholds via I2C, and enters a low-power wait loop. TIM6 interrupt fires every 100 ms, triggering an I2C DMA read of 22 BQ76930 registers. The DMA complete callback packs the telemetry frame and pushes it into the USB CDC transmit FIFO. EXTI on the ALERT pin fires on any BQ76930 fault assertion, immediately reading the SYS_STAT register and encoding the fault flag into the next telemetry frame without waiting for the 100 ms polling cycle. On the E-Load MCU, the firmware decodes set-point commands from the USB CDC receive FIFO and writes the corresponding 12-bit value to the MCP4725 over I2C2.</w:t>
      </w:r>
    </w:p>
    <w:p>
      <w:pPr>
        <w:pStyle w:val="Heading3"/>
        <w:spacing w:after="80" w:before="180"/>
      </w:pPr>
      <w:r>
        <w:rPr>
          <w:rFonts w:ascii="Arial" w:cs="Arial" w:eastAsia="Arial" w:hAnsi="Arial"/>
          <w:b/>
          <w:bCs/>
          <w:sz w:val="24"/>
          <w:szCs w:val="24"/>
        </w:rPr>
        <w:t xml:space="preserve">Layer 2 – Python Backend (PyQt6 + pyserial)</w:t>
      </w:r>
    </w:p>
    <w:p>
      <w:pPr>
        <w:spacing w:after="120" w:before="80"/>
      </w:pPr>
      <w:r>
        <w:rPr>
          <w:rFonts w:ascii="Arial" w:cs="Arial" w:eastAsia="Arial" w:hAnsi="Arial"/>
          <w:sz w:val="24"/>
          <w:szCs w:val="24"/>
        </w:rPr>
        <w:t xml:space="preserve">The Python backend runs on the host machine. A QThread subclass opens the BMS USB CDC port (115200 baud, 8N1) and reads frames continuously, decoding each 100-byte payload and emitting a Qt signal carrying a Python dictionary of decoded telemetry values. A second QThread manages the E-Load CDC port for set-point write commands. The main QMainWindow hosts a QWebEngineView widget that loads the Three.js dashboard HTML page. A QWebChannel instance bridges the Qt signal-slot system to JavaScript: each telemetry signal from the BMS reader thread is connected to a Python slot that calls QWebChannel.registerObject() to expose telemetry data as a JavaScript-accessible object, updated at 10 Hz. The backend also manages configuration dialogs (OV/UV threshold editors, balancing channel toggles) that generate I2C write commands forwarded to the BMS MCU over USB CDC.</w:t>
      </w:r>
    </w:p>
    <w:p>
      <w:pPr>
        <w:pStyle w:val="Heading3"/>
        <w:spacing w:after="80" w:before="180"/>
      </w:pPr>
      <w:r>
        <w:rPr>
          <w:rFonts w:ascii="Arial" w:cs="Arial" w:eastAsia="Arial" w:hAnsi="Arial"/>
          <w:b/>
          <w:bCs/>
          <w:sz w:val="24"/>
          <w:szCs w:val="24"/>
        </w:rPr>
        <w:t xml:space="preserve">Layer 3 – Web Frontend (Three.js + GSAP + QWebChannel)</w:t>
      </w:r>
    </w:p>
    <w:p>
      <w:pPr>
        <w:spacing w:after="120" w:before="80"/>
      </w:pPr>
      <w:r>
        <w:rPr>
          <w:rFonts w:ascii="Arial" w:cs="Arial" w:eastAsia="Arial" w:hAnsi="Arial"/>
          <w:sz w:val="24"/>
          <w:szCs w:val="24"/>
        </w:rPr>
        <w:t xml:space="preserve">The dashboard frontend is a single-page HTML/JavaScript application embedded in the PyQt6 Qt WebEngine panel. On load, it connects to the QWebChannel object exposed by the Python backend and registers a callback for telemetry updates. The 3D scene is built in Three.js: ten cylindrical cell mesh objects are arranged in a 2×5 grid representing the physical cell layout. Each cell's emissive color maps linearly from green (3.2 V, full safe discharge) through yellow (3.7 V, nominal) to red (4.2 V, full charge), updated on every telemetry frame. GSAP animations handle state transitions—cells pulse amber when the BQ76930 reports an OV/UV condition and flash red when the breaker opens. Below the 3D view, a grid of numeric readouts displays real-time values for all 10 cell voltages, pack voltage, pack current, and die temperature. A sidebar panel exposes the configuration controls that write through QWebChannel to the Python backend.</w:t>
      </w:r>
    </w:p>
    <w:p>
      <w:pPr>
        <w:pStyle w:val="Heading2"/>
        <w:spacing w:after="100" w:before="240"/>
      </w:pPr>
      <w:r>
        <w:rPr>
          <w:rFonts w:ascii="Arial" w:cs="Arial" w:eastAsia="Arial" w:hAnsi="Arial"/>
          <w:b/>
          <w:bCs/>
          <w:sz w:val="26"/>
          <w:szCs w:val="26"/>
        </w:rPr>
        <w:t xml:space="preserve">5.5  Key Design Decision Rationale</w:t>
      </w:r>
    </w:p>
    <w:p>
      <w:pPr>
        <w:pStyle w:val="Heading3"/>
        <w:spacing w:after="80" w:before="180"/>
      </w:pPr>
      <w:r>
        <w:rPr>
          <w:rFonts w:ascii="Arial" w:cs="Arial" w:eastAsia="Arial" w:hAnsi="Arial"/>
          <w:b/>
          <w:bCs/>
          <w:sz w:val="24"/>
          <w:szCs w:val="24"/>
        </w:rPr>
        <w:t xml:space="preserve">Decision 1: BQ76930 over Discrete Comparator Array</w:t>
      </w:r>
    </w:p>
    <w:p>
      <w:pPr>
        <w:spacing w:after="120" w:before="80"/>
      </w:pPr>
      <w:r>
        <w:rPr>
          <w:rFonts w:ascii="Arial" w:cs="Arial" w:eastAsia="Arial" w:hAnsi="Arial"/>
          <w:sz w:val="24"/>
          <w:szCs w:val="24"/>
        </w:rPr>
        <w:t xml:space="preserve">An early design alternative used 10 independent LM393 voltage comparators, one per cell, to enforce OV/UV thresholds with logic-level outputs to the MCU. This was rejected because the BQ76930 provides hardware-level fault isolation (SCD response in 70 µs, independent of MCU state), a calibrated 14-bit ADC, passive cell balancing FET drivers, and I2C register interface—all in a single 30-pin IC at a $8.50 unit cost. Implementing equivalent functionality discretely would have required approximately 40 ICs and 200+ passive components, doubling PCB area and tripling the component count.</w:t>
      </w:r>
    </w:p>
    <w:p>
      <w:pPr>
        <w:pStyle w:val="Heading3"/>
        <w:spacing w:after="80" w:before="180"/>
      </w:pPr>
      <w:r>
        <w:rPr>
          <w:rFonts w:ascii="Arial" w:cs="Arial" w:eastAsia="Arial" w:hAnsi="Arial"/>
          <w:b/>
          <w:bCs/>
          <w:sz w:val="24"/>
          <w:szCs w:val="24"/>
        </w:rPr>
        <w:t xml:space="preserve">Decision 2: USB CDC over CAN Bus</w:t>
      </w:r>
    </w:p>
    <w:p>
      <w:pPr>
        <w:spacing w:after="120" w:before="80"/>
      </w:pPr>
      <w:r>
        <w:rPr>
          <w:rFonts w:ascii="Arial" w:cs="Arial" w:eastAsia="Arial" w:hAnsi="Arial"/>
          <w:sz w:val="24"/>
          <w:szCs w:val="24"/>
        </w:rPr>
        <w:t xml:space="preserve">CAN bus is the industry standard for automotive BMS communication. However, USB CDC was selected because it requires no external transceiver IC (the STM32F303 integrates a USB 2.0 full-speed PHY), it is natively supported by all development host OSes without driver installation, and the PyQt6 + pyserial stack provides a mature Python API that the team was already proficient with. The latency penalty of USB CDC (worst-case 8 ms USB polling interval at full speed) is acceptable at the 10 Hz telemetry rate.</w:t>
      </w:r>
    </w:p>
    <w:p>
      <w:pPr>
        <w:pStyle w:val="Heading3"/>
        <w:spacing w:after="80" w:before="180"/>
      </w:pPr>
      <w:r>
        <w:rPr>
          <w:rFonts w:ascii="Arial" w:cs="Arial" w:eastAsia="Arial" w:hAnsi="Arial"/>
          <w:b/>
          <w:bCs/>
          <w:sz w:val="24"/>
          <w:szCs w:val="24"/>
        </w:rPr>
        <w:t xml:space="preserve">Decision 3: PyQt6 + Qt WebEngine over Electron or Native Tkinter</w:t>
      </w:r>
    </w:p>
    <w:p>
      <w:pPr>
        <w:spacing w:after="120" w:before="80"/>
      </w:pPr>
      <w:r>
        <w:rPr>
          <w:rFonts w:ascii="Arial" w:cs="Arial" w:eastAsia="Arial" w:hAnsi="Arial"/>
          <w:sz w:val="24"/>
          <w:szCs w:val="24"/>
        </w:rPr>
        <w:t xml:space="preserve">A web-based frontend was required to support the Three.js 3D visualization, which has no native Python equivalent at comparable capability. Qt WebEngine provides a fully integrated Chromium rendering engine within the PyQt6 window, eliminating cross-origin CORS restrictions that would affect an Electron app communicating over a local HTTP server. Tkinter was rejected early because it does not support WebGL. Qt WebEngine + QWebChannel provides microsecond-latency Python-to-JavaScript data transfer without network stack overhead.</w:t>
      </w:r>
    </w:p>
    <w:p>
      <w:pPr>
        <w:pStyle w:val="Heading3"/>
        <w:spacing w:after="80" w:before="180"/>
      </w:pPr>
      <w:r>
        <w:rPr>
          <w:rFonts w:ascii="Arial" w:cs="Arial" w:eastAsia="Arial" w:hAnsi="Arial"/>
          <w:b/>
          <w:bCs/>
          <w:sz w:val="24"/>
          <w:szCs w:val="24"/>
        </w:rPr>
        <w:t xml:space="preserve">Decision 4: Resistive Voltage Divider Cell Emulator over Battery Simulator</w:t>
      </w:r>
    </w:p>
    <w:p>
      <w:pPr>
        <w:spacing w:after="120" w:before="80"/>
      </w:pPr>
      <w:r>
        <w:rPr>
          <w:rFonts w:ascii="Arial" w:cs="Arial" w:eastAsia="Arial" w:hAnsi="Arial"/>
          <w:sz w:val="24"/>
          <w:szCs w:val="24"/>
        </w:rPr>
        <w:t xml:space="preserve">Commercial battery simulators (e.g., Arbin BT2000) capable of emulating a 10-cell stack cost $15,000–$40,000 and were not available in the team's laboratory. The custom resistive voltage divider emulator was designed and fabricated for $50 in PCB and passive costs. Although the emulator cannot simulate internal resistance or state-of-charge dynamics, it provides stable, repeatable node voltages suitable for AFE register configuration validation and GUI telemetry testing without risk to the live cell pack.</w:t>
      </w:r>
    </w:p>
    <w:p>
      <w:pPr>
        <w:pStyle w:val="Heading3"/>
        <w:spacing w:after="80" w:before="180"/>
      </w:pPr>
      <w:r>
        <w:rPr>
          <w:rFonts w:ascii="Arial" w:cs="Arial" w:eastAsia="Arial" w:hAnsi="Arial"/>
          <w:b/>
          <w:bCs/>
          <w:sz w:val="24"/>
          <w:szCs w:val="24"/>
        </w:rPr>
        <w:t xml:space="preserve">Decision 5: STM32F303RCT6 over Raspberry Pi Zero or ESP32</w:t>
      </w:r>
    </w:p>
    <w:p>
      <w:pPr>
        <w:spacing w:after="120" w:before="80"/>
      </w:pPr>
      <w:r>
        <w:rPr>
          <w:rFonts w:ascii="Arial" w:cs="Arial" w:eastAsia="Arial" w:hAnsi="Arial"/>
          <w:sz w:val="24"/>
          <w:szCs w:val="24"/>
        </w:rPr>
        <w:t xml:space="preserve">The Raspberry Pi Zero runs Linux and would have simplified Python development, but it does not support real-time USB CDC transmission with deterministic 100 ms frame timing—Linux scheduler jitter can delay frame transmission by tens of milliseconds. The ESP32 supports USB CDC in newer silicon revisions but lacks the I2C DMA peripheral required for non-blocking 22-register block reads from the BQ76930 at 400 kHz without stalling the USB task. The STM32F303RCT6 provides DMA-backed I2C, a dedicated USB 2.0 full-speed peripheral, and a Cortex-M4 FPU in an LQFP-64 package that fits the BMS PCB footprint constraints.</w:t>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8"/>
        <w:szCs w:val="18"/>
      </w:rPr>
      <w:t xml:space="preserve">ENGR 181W  |  BMS Technical Report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2E75B6"/>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1F5C8B"/>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2026-05-04T21:56:49.547Z</dcterms:created>
  <dcterms:modified xsi:type="dcterms:W3CDTF">2026-05-04T21:56:49.547Z</dcterms:modified>
</cp:coreProperties>
</file>

<file path=docProps/custom.xml><?xml version="1.0" encoding="utf-8"?>
<Properties xmlns="http://schemas.openxmlformats.org/officeDocument/2006/custom-properties" xmlns:vt="http://schemas.openxmlformats.org/officeDocument/2006/docPropsVTypes"/>
</file>