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lineRule="auto"/>
        <w:jc w:val="center"/>
      </w:pPr>
      <w:r>
        <w:rPr>
          <w:rFonts w:ascii="Cambria" w:cs="Cambria" w:eastAsia="Cambria" w:hAnsi="Cambria"/>
          <w:b/>
          <w:bCs/>
          <w:sz w:val="28"/>
          <w:szCs w:val="28"/>
        </w:rPr>
        <w:t xml:space="preserve">Understanding Professional and Ethical Responsibility and Global, Economic, Environmental and Societal Impact of the BMCS Project</w:t>
      </w:r>
    </w:p>
    <w:p>
      <w:pPr>
        <w:spacing w:after="200" w:line="276" w:lineRule="auto"/>
        <w:jc w:val="center"/>
      </w:pPr>
      <w:r>
        <w:rPr>
          <w:rFonts w:ascii="Cambria" w:cs="Cambria" w:eastAsia="Cambria" w:hAnsi="Cambria"/>
          <w:sz w:val="22"/>
          <w:szCs w:val="22"/>
        </w:rPr>
        <w:t xml:space="preserve">Kaushik Vada   |   EE175AB Senior Design   |   UC Riverside   |   May 5, 2026</w:t>
      </w:r>
    </w:p>
    <w:p>
      <w:pPr>
        <w:spacing w:after="200" w:line="276" w:lineRule="auto"/>
        <w:jc w:val="center"/>
      </w:pPr>
      <w:r>
        <w:rPr>
          <w:rFonts w:ascii="Cambria" w:cs="Cambria" w:eastAsia="Cambria" w:hAnsi="Cambria"/>
          <w:b/>
          <w:bCs/>
          <w:sz w:val="22"/>
          <w:szCs w:val="22"/>
        </w:rPr>
        <w:t xml:space="preserve">Abstract</w:t>
      </w:r>
    </w:p>
    <w:p>
      <w:pPr>
        <w:spacing w:after="200" w:line="276" w:lineRule="auto"/>
        <w:ind w:left="720" w:right="720"/>
      </w:pPr>
      <w:r>
        <w:rPr>
          <w:rFonts w:ascii="Cambria" w:cs="Cambria" w:eastAsia="Cambria" w:hAnsi="Cambria"/>
          <w:i/>
          <w:iCs/>
          <w:sz w:val="22"/>
          <w:szCs w:val="22"/>
        </w:rPr>
        <w:t xml:space="preserve">This essay examines the professional and ethical responsibilities of commercializing a Battery Management and Control System (BMCS) designed for 10-series Molicel P42A lithium-ion stacks. The system is built around the Texas Instruments BQ76930 Analog Front End, an STM32F303 microcontroller, and a PyQt6 telemetry dashboard. The primary ethical concerns addressed are public safety, data privacy, and fairness of access in commercial deployment. The essay details how hardware-enforced protection, a structured bring-up sequence using a custom resistive cell emulator, and transparent telemetry interfaces work together to mitigate these risks. It further discusses lessons learned about engineering tradeoffs, including the choice of passive over active cell balancing, and the role of sacrificial components in anticipating real failure modes. The global and environmental implications of affordable BMS technology are evaluated, with focus on distributed energy access and battery cycle life extension. The analysis concludes that professional responsibility in battery system engineering requires conservative design, explicit tradeoff documentation, and sustained attention to public safety from prototype through commercial deployment.</w:t>
      </w:r>
    </w:p>
    <w:p>
      <w:pPr>
        <w:spacing w:after="200" w:line="276" w:lineRule="auto"/>
        <w:ind w:left="720" w:right="720"/>
      </w:pPr>
      <w:r>
        <w:rPr>
          <w:rFonts w:ascii="Cambria" w:cs="Cambria" w:eastAsia="Cambria" w:hAnsi="Cambria"/>
          <w:b/>
          <w:bCs/>
          <w:i/>
          <w:iCs/>
          <w:sz w:val="22"/>
          <w:szCs w:val="22"/>
        </w:rPr>
        <w:t xml:space="preserve">Index Terms—</w:t>
      </w:r>
      <w:r>
        <w:rPr>
          <w:rFonts w:ascii="Cambria" w:cs="Cambria" w:eastAsia="Cambria" w:hAnsi="Cambria"/>
          <w:sz w:val="22"/>
          <w:szCs w:val="22"/>
        </w:rPr>
        <w:t xml:space="preserve">Battery management systems (BMS), engineering ethics, public safety, lithium-ion safety, renewable energy storage, societal impact.</w:t>
      </w:r>
    </w:p>
    <w:p>
      <w:pPr>
        <w:spacing w:after="200" w:line="276" w:lineRule="auto"/>
        <w:jc w:val="center"/>
      </w:pPr>
      <w:r>
        <w:rPr>
          <w:rFonts w:ascii="Cambria" w:cs="Cambria" w:eastAsia="Cambria" w:hAnsi="Cambria"/>
          <w:b/>
          <w:bCs/>
          <w:sz w:val="20"/>
          <w:szCs w:val="20"/>
        </w:rPr>
        <w:t xml:space="preserve">I. INTRODUCTION</w:t>
      </w:r>
    </w:p>
    <w:p>
      <w:pPr>
        <w:spacing w:after="200" w:line="276" w:lineRule="auto"/>
      </w:pPr>
      <w:r>
        <w:rPr>
          <w:rFonts w:ascii="Cambria" w:cs="Cambria" w:eastAsia="Cambria" w:hAnsi="Cambria"/>
          <w:sz w:val="22"/>
          <w:szCs w:val="22"/>
        </w:rPr>
        <w:t xml:space="preserve">A 10-cell lithium-ion stack at 42 V carries enough energy to cause a fire, damage equipment, or injure someone if its supervision layer fails. The Battery Management and Control System (BMCS) project was built around exactly that problem: a custom protection and monitoring architecture for high-capacity Molicel P42A cells, implemented using the Texas Instruments BQ76930 Analog Front End (AFE) and an STM32F303 microcontroller with a PyQt6 telemetry dashboard [1]. This essay examines what the engineering work means when the prototype leaves a university lab. If the BMCS became a commercial product, the technical decisions made at the component level carry ethical weight for users who will never read a datasheet.</w:t>
      </w:r>
    </w:p>
    <w:p>
      <w:pPr>
        <w:spacing w:after="200" w:line="276" w:lineRule="auto"/>
        <w:jc w:val="center"/>
      </w:pPr>
      <w:r>
        <w:rPr>
          <w:rFonts w:ascii="Cambria" w:cs="Cambria" w:eastAsia="Cambria" w:hAnsi="Cambria"/>
          <w:b/>
          <w:bCs/>
          <w:sz w:val="20"/>
          <w:szCs w:val="20"/>
        </w:rPr>
        <w:t xml:space="preserve">II. ETHICAL IMPLICATIONS OF COMMERCIALIZATION</w:t>
      </w:r>
    </w:p>
    <w:p>
      <w:pPr>
        <w:spacing w:after="200" w:line="276" w:lineRule="auto"/>
      </w:pPr>
      <w:r>
        <w:rPr>
          <w:rFonts w:ascii="Cambria" w:cs="Cambria" w:eastAsia="Cambria" w:hAnsi="Cambria"/>
          <w:sz w:val="22"/>
          <w:szCs w:val="22"/>
        </w:rPr>
        <w:t xml:space="preserve">The most direct ethical issue is public safety. A 151.2 Wh pack is not an abstract laboratory component; under a failed protection scheme, it is a fire hazard. Battery management failures have caused documented harm at scale. The Samsung Galaxy Note 7 recall in 2016, the Boeing 787 Dreamliner battery incidents, and recurring fires in electric scooter fleets all trace back to inadequate cell monitoring or flawed protection logic. A BMCS that ships with incorrect overvoltage thresholds or a fault-masking firmware bug fails its primary obligation to the person using it.</w:t>
      </w:r>
    </w:p>
    <w:p>
      <w:pPr>
        <w:spacing w:after="200" w:line="276" w:lineRule="auto"/>
      </w:pPr>
      <w:r>
        <w:rPr>
          <w:rFonts w:ascii="Cambria" w:cs="Cambria" w:eastAsia="Cambria" w:hAnsi="Cambria"/>
          <w:sz w:val="22"/>
          <w:szCs w:val="22"/>
        </w:rPr>
        <w:t xml:space="preserve">The core ethical problem is an asymmetry of knowledge. A customer deploying this system on an e-bike or a small solar installation has no way to verify whether the shunt calibration is accurate or whether the firmware handles every edge case correctly. They rely entirely on the professional integrity of the engineers who built it. That asymmetry is where abstract ethics becomes concrete responsibility.</w:t>
      </w:r>
    </w:p>
    <w:p>
      <w:pPr>
        <w:spacing w:after="200" w:line="276" w:lineRule="auto"/>
      </w:pPr>
      <w:r>
        <w:rPr>
          <w:rFonts w:ascii="Cambria" w:cs="Cambria" w:eastAsia="Cambria" w:hAnsi="Cambria"/>
          <w:sz w:val="22"/>
          <w:szCs w:val="22"/>
        </w:rPr>
        <w:t xml:space="preserve">Data privacy is a less obvious but real concern. The BMCS dashboard captures high-resolution telemetry including cell voltage curves, temperature histories, and charge cycle data streamed at 115200 baud over USB CDC. In fleet management or shared mobility applications, this data could reveal sensitive usage patterns and behaviors that users would not expect to be logged or retained. A commercial version needs an explicit, readable data policy. The same telemetry that makes the system useful for diagnostics becomes a liability if it is handled carelessly.</w:t>
      </w:r>
    </w:p>
    <w:p>
      <w:pPr>
        <w:spacing w:after="200" w:line="276" w:lineRule="auto"/>
      </w:pPr>
      <w:r>
        <w:rPr>
          <w:rFonts w:ascii="Cambria" w:cs="Cambria" w:eastAsia="Cambria" w:hAnsi="Cambria"/>
          <w:sz w:val="22"/>
          <w:szCs w:val="22"/>
        </w:rPr>
        <w:t xml:space="preserve">Fairness of access is also at stake. Commercial BMS units have historically cost upward of $200, creating real barriers in regions where distributed solar storage would be most impactful. How a product is priced and who actually benefits from it is an ethical question that engineers tend to overlook while focused on hardware bring-up. If the engineering genuinely enables energy access in underserved communities, the commercialization model has to reflect that goal.</w:t>
      </w:r>
    </w:p>
    <w:p>
      <w:pPr>
        <w:spacing w:after="200" w:line="276" w:lineRule="auto"/>
      </w:pPr>
      <w:r>
        <w:rPr>
          <w:rFonts w:ascii="Cambria" w:cs="Cambria" w:eastAsia="Cambria" w:hAnsi="Cambria"/>
          <w:sz w:val="22"/>
          <w:szCs w:val="22"/>
        </w:rPr>
        <w:t xml:space="preserve">There are broader societal effects to consider as well. Affordable battery management changes the energy choices available to entire communities. That is a meaningful societal benefit. But commercialization without safety rigor transfers risk to those same communities, who often have the least recourse when a product fails. The ethical weight of this design sits at the intersection of access and accountability.</w:t>
      </w:r>
    </w:p>
    <w:p>
      <w:pPr>
        <w:spacing w:after="200" w:line="276" w:lineRule="auto"/>
        <w:jc w:val="center"/>
      </w:pPr>
      <w:r>
        <w:rPr>
          <w:rFonts w:ascii="Cambria" w:cs="Cambria" w:eastAsia="Cambria" w:hAnsi="Cambria"/>
          <w:b/>
          <w:bCs/>
          <w:sz w:val="20"/>
          <w:szCs w:val="20"/>
        </w:rPr>
        <w:t xml:space="preserve">III. ADDRESSING ETHICAL ISSUES THROUGH DESIGN</w:t>
      </w:r>
    </w:p>
    <w:p>
      <w:pPr>
        <w:spacing w:after="200" w:line="276" w:lineRule="auto"/>
      </w:pPr>
      <w:r>
        <w:rPr>
          <w:rFonts w:ascii="Cambria" w:cs="Cambria" w:eastAsia="Cambria" w:hAnsi="Cambria"/>
          <w:sz w:val="22"/>
          <w:szCs w:val="22"/>
        </w:rPr>
        <w:t xml:space="preserve">The BMCS addresses safety through hardware-level redundancy that operates independently of firmware state. The TI BQ76930 AFE enforces overvoltage (OV), undervoltage (UV), and short-circuit (SCD) protection in hardware. On a detected short circuit, the AFE opens the discharge FET within 70 microseconds, regardless of what the STM32F303 is doing at that moment [2]. A second independent layer, a comparator circuit, opens the load path automatically if any cell temperature exceeds 60 degrees C. The system does not trust firmware alone with safety-critical decisions, which is the correct architecture for a product operating in the field without engineering supervision.</w:t>
      </w:r>
    </w:p>
    <w:p>
      <w:pPr>
        <w:spacing w:after="200" w:line="276" w:lineRule="auto"/>
      </w:pPr>
      <w:r>
        <w:rPr>
          <w:rFonts w:ascii="Cambria" w:cs="Cambria" w:eastAsia="Cambria" w:hAnsi="Cambria"/>
          <w:sz w:val="22"/>
          <w:szCs w:val="22"/>
        </w:rPr>
        <w:t xml:space="preserve">To reduce the risk of firmware errors during development, the team validated the entire stack on a custom resistive cell emulator before connecting any live cells. The emulator simulated the full 10-cell series stack under controlled, repeatable conditions, allowing protection threshold testing without exposing real cells to fault scenarios. This is the correct bring-up sequence: validate the protection logic on hardware that cannot catch fire before switching to hardware that can. When the live pack was not in active use, it was stored in a lithium-rated fire bag inside a sand bucket with all terminals insulated between sessions.</w:t>
      </w:r>
    </w:p>
    <w:p>
      <w:pPr>
        <w:spacing w:after="200" w:line="276" w:lineRule="auto"/>
      </w:pPr>
      <w:r>
        <w:rPr>
          <w:rFonts w:ascii="Cambria" w:cs="Cambria" w:eastAsia="Cambria" w:hAnsi="Cambria"/>
          <w:sz w:val="22"/>
          <w:szCs w:val="22"/>
        </w:rPr>
        <w:t xml:space="preserve">The dashboard design also addresses the transparency issue directly. Rather than hiding system state in register dumps, all cell-level telemetry is surfaced in the operator interface. A user can see in real time if one cell is drifting from the pack average, if temperatures are climbing, or if a protection event has been logged. Building that visibility into the product is an ethical choice as much as a design one.</w:t>
      </w:r>
    </w:p>
    <w:p>
      <w:pPr>
        <w:spacing w:after="200" w:line="276" w:lineRule="auto"/>
        <w:jc w:val="center"/>
      </w:pPr>
      <w:r>
        <w:rPr>
          <w:rFonts w:ascii="Cambria" w:cs="Cambria" w:eastAsia="Cambria" w:hAnsi="Cambria"/>
          <w:b/>
          <w:bCs/>
          <w:sz w:val="20"/>
          <w:szCs w:val="20"/>
        </w:rPr>
        <w:t xml:space="preserve">IV. PROFESSIONAL AND ETHICAL LEARNINGS</w:t>
      </w:r>
    </w:p>
    <w:p>
      <w:pPr>
        <w:spacing w:after="200" w:line="276" w:lineRule="auto"/>
      </w:pPr>
      <w:r>
        <w:rPr>
          <w:rFonts w:ascii="Cambria" w:cs="Cambria" w:eastAsia="Cambria" w:hAnsi="Cambria"/>
          <w:sz w:val="22"/>
          <w:szCs w:val="22"/>
        </w:rPr>
        <w:t xml:space="preserve">The most useful thing this project taught me is that professional responsibility is not a checklist run at tape-out. It shapes individual decisions throughout a project, in ways that are easy to compromise under time or cost pressure.</w:t>
      </w:r>
    </w:p>
    <w:p>
      <w:pPr>
        <w:spacing w:after="200" w:line="276" w:lineRule="auto"/>
      </w:pPr>
      <w:r>
        <w:rPr>
          <w:rFonts w:ascii="Cambria" w:cs="Cambria" w:eastAsia="Cambria" w:hAnsi="Cambria"/>
          <w:sz w:val="22"/>
          <w:szCs w:val="22"/>
        </w:rPr>
        <w:t xml:space="preserve">The passive balancing decision is a clear example. Active balancing redistributes energy between cells and is more efficient, but it is significantly more complex to implement and validate. Given a one-semester senior design timeline, passive balancing was the right engineering choice. The lesson is that this has to be an explicit, documented tradeoff rather than a default that nobody examined. Passive balancing dissipates excess energy as heat through bleed resistors, which affects thermal load on the pack and reduces round-trip efficiency slightly. A professional engineer documents those consequences rather than choosing the simpler path without acknowledging the cost.</w:t>
      </w:r>
    </w:p>
    <w:p>
      <w:pPr>
        <w:spacing w:after="200" w:line="276" w:lineRule="auto"/>
      </w:pPr>
      <w:r>
        <w:rPr>
          <w:rFonts w:ascii="Cambria" w:cs="Cambria" w:eastAsia="Cambria" w:hAnsi="Cambria"/>
          <w:sz w:val="22"/>
          <w:szCs w:val="22"/>
        </w:rPr>
        <w:t xml:space="preserve">The TVS diode event during hardware bring-up made the concept of sacrificial protection concrete. A TVS placed on the XT60 input absorbed a transient during initial testing, destroyed itself, and protected the rest of the circuit exactly as designed. The system survived because a failure mode had been anticipated and a component placed specifically to absorb it. Professional engineering means thinking through failure modes before they occur, not reconstructing them after the fact. That habit is difficult to develop from coursework alone. It requires working at a bench with a system that can fail in ways that matter.</w:t>
      </w:r>
    </w:p>
    <w:p>
      <w:pPr>
        <w:spacing w:after="200" w:line="276" w:lineRule="auto"/>
      </w:pPr>
      <w:r>
        <w:rPr>
          <w:rFonts w:ascii="Cambria" w:cs="Cambria" w:eastAsia="Cambria" w:hAnsi="Cambria"/>
          <w:sz w:val="22"/>
          <w:szCs w:val="22"/>
        </w:rPr>
        <w:t xml:space="preserve">Working with a 151.2 Wh pack at 36 V also changes how carefully you read a datasheet. If breaker logic fails or an overcurrent condition goes undetected because of a firmware edge case, the result is not a system crash recoverable with a reboot. That weight is formative in a way that simulations are not. The IEEE Code of Ethics frames public safety as the primary obligation of the engineer. Working on this system made that obligation feel specific rather than theoretical.</w:t>
      </w:r>
    </w:p>
    <w:p>
      <w:pPr>
        <w:spacing w:after="200" w:line="276" w:lineRule="auto"/>
        <w:jc w:val="center"/>
      </w:pPr>
      <w:r>
        <w:rPr>
          <w:rFonts w:ascii="Cambria" w:cs="Cambria" w:eastAsia="Cambria" w:hAnsi="Cambria"/>
          <w:b/>
          <w:bCs/>
          <w:sz w:val="20"/>
          <w:szCs w:val="20"/>
        </w:rPr>
        <w:t xml:space="preserve">V. GLOBAL, ECONOMIC, ENVIRONMENTAL, AND SOCIETAL IMPACT</w:t>
      </w:r>
    </w:p>
    <w:p>
      <w:pPr>
        <w:spacing w:after="200" w:line="276" w:lineRule="auto"/>
      </w:pPr>
      <w:r>
        <w:rPr>
          <w:rFonts w:ascii="Cambria" w:cs="Cambria" w:eastAsia="Cambria" w:hAnsi="Cambria"/>
          <w:sz w:val="22"/>
          <w:szCs w:val="22"/>
        </w:rPr>
        <w:t xml:space="preserve">The global energy transition depends on accessible and reliable battery management hardware. Without a functional BMS, lithium cells cannot be operated safely across their full voltage window, making them both dangerous and underutilized. Historically, commercial BMS units have cost $200 or more, restricting their use to well-resourced applications. A system built on the BMCS architecture has a realistic path to small-scale production at a lower cost, which changes what applications become feasible.</w:t>
      </w:r>
    </w:p>
    <w:p>
      <w:pPr>
        <w:spacing w:after="200" w:line="276" w:lineRule="auto"/>
      </w:pPr>
      <w:r>
        <w:rPr>
          <w:rFonts w:ascii="Cambria" w:cs="Cambria" w:eastAsia="Cambria" w:hAnsi="Cambria"/>
          <w:sz w:val="22"/>
          <w:szCs w:val="22"/>
        </w:rPr>
        <w:t xml:space="preserve">The International Energy Agency estimates that hundreds of millions of people currently lack reliable electricity access, concentrated in sub-Saharan Africa and South Asia [3]. Affordable battery management hardware is part of the technical stack that makes distributed solar storage viable for off-grid rural clinics, schools, and small enterprises. During validation, the BMCS successfully powered an NVIDIA Jetson Orin Nano, a compute-intensive load, demonstrating that the architecture generalizes to real deployment scenarios rather than just bench testing.</w:t>
      </w:r>
    </w:p>
    <w:p>
      <w:pPr>
        <w:spacing w:after="200" w:line="276" w:lineRule="auto"/>
      </w:pPr>
      <w:r>
        <w:rPr>
          <w:rFonts w:ascii="Cambria" w:cs="Cambria" w:eastAsia="Cambria" w:hAnsi="Cambria"/>
          <w:sz w:val="22"/>
          <w:szCs w:val="22"/>
        </w:rPr>
        <w:t xml:space="preserve">The environmental picture runs in two directions, and both need to be held honestly. Keeping cells within safe operating windows and balancing charge distribution across the series stack extends cycle life. Fewer replacement cycles mean less battery waste entering disposal streams, which matters because lithium-ion cells are not environmentally neutral to manufacture or straightforward to recycle at end of life. On the other side, growing demand for battery storage drives mining activity for lithium, cobalt, and manganese, with real ecological costs at extraction sites. An engineer working in this space should hold both realities rather than treating electrification as automatically clean.</w:t>
      </w:r>
    </w:p>
    <w:p>
      <w:pPr>
        <w:spacing w:after="200" w:line="276" w:lineRule="auto"/>
      </w:pPr>
      <w:r>
        <w:rPr>
          <w:rFonts w:ascii="Cambria" w:cs="Cambria" w:eastAsia="Cambria" w:hAnsi="Cambria"/>
          <w:sz w:val="22"/>
          <w:szCs w:val="22"/>
        </w:rPr>
        <w:t xml:space="preserve">Societally, a commercial version of this system would need to meet UL 9540 for energy storage systems and IEC 62619 for industrial lithium battery applications [4][5]. These standards are not bureaucratic hurdles. They represent the engineering community's accumulated knowledge about what can go wrong with lithium systems at scale. Our system used AEC-Q grade components in certain roles and ESD protection on the USB interface for the same underlying reason: build conservatively, and anticipate failure modes before they reach users. Communities that adopt this technology deserve products designed to that standard.</w:t>
      </w:r>
    </w:p>
    <w:p>
      <w:pPr>
        <w:spacing w:after="200" w:line="276" w:lineRule="auto"/>
        <w:jc w:val="center"/>
      </w:pPr>
      <w:r>
        <w:rPr>
          <w:rFonts w:ascii="Cambria" w:cs="Cambria" w:eastAsia="Cambria" w:hAnsi="Cambria"/>
          <w:b/>
          <w:bCs/>
          <w:sz w:val="20"/>
          <w:szCs w:val="20"/>
        </w:rPr>
        <w:t xml:space="preserve">VI. CONCLUSION</w:t>
      </w:r>
    </w:p>
    <w:p>
      <w:pPr>
        <w:spacing w:after="200" w:line="276" w:lineRule="auto"/>
      </w:pPr>
      <w:r>
        <w:rPr>
          <w:rFonts w:ascii="Cambria" w:cs="Cambria" w:eastAsia="Cambria" w:hAnsi="Cambria"/>
          <w:sz w:val="22"/>
          <w:szCs w:val="22"/>
        </w:rPr>
        <w:t xml:space="preserve">The BMCS project achieved its core safety objectives: hardware-enforced protection, validated bring-up sequences, and transparent telemetry interfaces that inform users rather than conceal system state. Through this process, engineering ethics proved inseparable from engineering practice. The choice to use the BQ76930's autonomous fault protection, the decision to validate on a cell emulator before connecting live cells, and the TVS diode that burned up on purpose during testing were all ethical decisions as much as technical ones. As this kind of technology moves toward wider deployment, the questions raised in a university senior design lab become more consequential. Future work on a commercial version of this system should prioritize third-party safety certification, a transparent data handling policy, and a cost structure that reflects the communities most likely to benefit from affordable distributed energy storage. The prototype demonstrated that the engineering is sound. The harder work is making sure it reaches people responsibly.</w:t>
      </w:r>
    </w:p>
    <w:p>
      <w:pPr>
        <w:spacing w:after="200" w:line="276" w:lineRule="auto"/>
        <w:jc w:val="center"/>
      </w:pPr>
      <w:r>
        <w:rPr>
          <w:rFonts w:ascii="Cambria" w:cs="Cambria" w:eastAsia="Cambria" w:hAnsi="Cambria"/>
          <w:b/>
          <w:bCs/>
          <w:sz w:val="20"/>
          <w:szCs w:val="20"/>
        </w:rPr>
        <w:t xml:space="preserve">VII. REFERENCES</w:t>
      </w:r>
    </w:p>
    <w:p>
      <w:pPr>
        <w:spacing w:after="200" w:line="276" w:lineRule="auto"/>
        <w:ind w:left="360" w:hanging="360"/>
      </w:pPr>
      <w:r>
        <w:rPr>
          <w:rFonts w:ascii="Cambria" w:cs="Cambria" w:eastAsia="Cambria" w:hAnsi="Cambria"/>
          <w:sz w:val="18"/>
          <w:szCs w:val="18"/>
        </w:rPr>
        <w:t xml:space="preserve">[1] K. Vada et al., “Battery Management System,” EE175AB Senior Design Final Report, Dept. Elect. and Comput. Eng., Univ. California, Riverside, CA, USA, 2026.</w:t>
      </w:r>
    </w:p>
    <w:p>
      <w:pPr>
        <w:spacing w:after="200" w:line="276" w:lineRule="auto"/>
        <w:ind w:left="360" w:hanging="360"/>
      </w:pPr>
      <w:r>
        <w:rPr>
          <w:rFonts w:ascii="Cambria" w:cs="Cambria" w:eastAsia="Cambria" w:hAnsi="Cambria"/>
          <w:sz w:val="18"/>
          <w:szCs w:val="18"/>
        </w:rPr>
        <w:t xml:space="preserve">[2] Texas Instruments, “BQ76930 6-Series to 10-Series Cell Li-Ion and Li-Phosphate Battery Monitor,” BQ76930 Datasheet, Rev. H, 2022.</w:t>
      </w:r>
    </w:p>
    <w:p>
      <w:pPr>
        <w:spacing w:after="200" w:line="276" w:lineRule="auto"/>
        <w:ind w:left="360" w:hanging="360"/>
      </w:pPr>
      <w:r>
        <w:rPr>
          <w:rFonts w:ascii="Cambria" w:cs="Cambria" w:eastAsia="Cambria" w:hAnsi="Cambria"/>
          <w:sz w:val="18"/>
          <w:szCs w:val="18"/>
        </w:rPr>
        <w:t xml:space="preserve">[3] International Energy Agency (IEA), “SDG7: Data and Projections,” IEA, Paris, 2022. [Online]. Available: https://www.iea.org/reports/sdg7-data-and-projections.</w:t>
      </w:r>
    </w:p>
    <w:p>
      <w:pPr>
        <w:spacing w:after="200" w:line="276" w:lineRule="auto"/>
        <w:ind w:left="360" w:hanging="360"/>
      </w:pPr>
      <w:r>
        <w:rPr>
          <w:rFonts w:ascii="Cambria" w:cs="Cambria" w:eastAsia="Cambria" w:hAnsi="Cambria"/>
          <w:sz w:val="18"/>
          <w:szCs w:val="18"/>
        </w:rPr>
        <w:t xml:space="preserve">[4] UL Standard for Safety for Energy Storage Systems and Equipment, UL 9540, 2023.</w:t>
      </w:r>
    </w:p>
    <w:p>
      <w:pPr>
        <w:spacing w:after="200" w:line="276" w:lineRule="auto"/>
        <w:ind w:left="360" w:hanging="360"/>
      </w:pPr>
      <w:r>
        <w:rPr>
          <w:rFonts w:ascii="Cambria" w:cs="Cambria" w:eastAsia="Cambria" w:hAnsi="Cambria"/>
          <w:sz w:val="18"/>
          <w:szCs w:val="18"/>
        </w:rPr>
        <w:t xml:space="preserve">[5] Safety requirements for secondary lithium cells and batteries for use in industrial applications, IEC 62619:2022, 2022.</w:t>
      </w:r>
    </w:p>
    <w:p>
      <w:pPr>
        <w:spacing w:after="200" w:line="276" w:lineRule="auto"/>
        <w:ind w:left="360" w:hanging="360"/>
      </w:pPr>
      <w:r>
        <w:rPr>
          <w:rFonts w:ascii="Cambria" w:cs="Cambria" w:eastAsia="Cambria" w:hAnsi="Cambria"/>
          <w:sz w:val="18"/>
          <w:szCs w:val="18"/>
        </w:rPr>
        <w:t xml:space="preserve">[6] Molicel, “Molicel P42A 21700 Data Sheet,” Molicel, 2021.</w:t>
      </w:r>
    </w:p>
    <w:sectPr>
      <w:pgSz w:w="12240" w:h="15840" w:orient="portrait"/>
      <w:pgMar w:top="1440" w:right="1800" w:bottom="1440" w:left="18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2026-05-06T01:38:20.320Z</dcterms:created>
  <dcterms:modified xsi:type="dcterms:W3CDTF">2026-05-06T01:38:20.320Z</dcterms:modified>
</cp:coreProperties>
</file>

<file path=docProps/custom.xml><?xml version="1.0" encoding="utf-8"?>
<Properties xmlns="http://schemas.openxmlformats.org/officeDocument/2006/custom-properties" xmlns:vt="http://schemas.openxmlformats.org/officeDocument/2006/docPropsVTypes"/>
</file>