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Understanding Professional and Ethical Responsibility and Global, Economic, Environmental and Societal Impact of the BMCS Project</w:t>
      </w:r>
    </w:p>
    <w:p>
      <w:pPr>
        <w:jc w:val="center"/>
      </w:pPr>
      <w:r>
        <w:rPr>
          <w:sz w:val="22"/>
        </w:rPr>
        <w:t>Kaushik Vada   |   EE175AB Senior Design   |   UC Riverside   |   May 5, 2026</w:t>
      </w:r>
    </w:p>
    <w:p>
      <w:pPr>
        <w:jc w:val="center"/>
      </w:pPr>
      <w:r>
        <w:rPr>
          <w:b/>
        </w:rPr>
        <w:t>Abstract</w:t>
      </w:r>
    </w:p>
    <w:p>
      <w:pPr>
        <w:ind w:left="720" w:right="720"/>
      </w:pPr>
      <w:r>
        <w:rPr>
          <w:i/>
        </w:rPr>
        <w:t>This essay analyzes the professional and ethical responsibilities associated with the design of a Battery Management and Control System (BMCS) for high-capacity lithium-ion stacks. Grounded in the EE175AB Senior Design project, the discussion focuses on the hardware-enforced safety mechanisms required to manage 10-series Molicel P42A cells, which can source over 100 A under fault conditions. The essay details how the implementation of the TI BQ76930 Analog Front End (AFE) addresses the ethical mandate for public safety by providing autonomous, 70-microsecond short-circuit protection independent of firmware state. Furthermore, it evaluates the global and environmental implications of accessible BMS technology, specifically its role in enabling distributed renewable energy storage and extending cell cycle life to reduce hazardous waste. The analysis concludes that professional engineering responsibility in the battery sector requires a conservative design approach that anticipates catastrophic failure modes through rigorous simulation and sacrificial protection components.</w:t>
      </w:r>
    </w:p>
    <w:p>
      <w:pPr>
        <w:ind w:left="720" w:right="720"/>
      </w:pPr>
      <w:r>
        <w:rPr>
          <w:b/>
          <w:i/>
        </w:rPr>
        <w:t>Index Terms—</w:t>
      </w:r>
      <w:r>
        <w:t>Battery management systems (BMS), engineering ethics, public safety, lithium-ion safety, renewable energy storage.</w:t>
      </w:r>
    </w:p>
    <w:p>
      <w:pPr>
        <w:jc w:val="center"/>
      </w:pPr>
      <w:r>
        <w:rPr>
          <w:b/>
          <w:sz w:val="20"/>
        </w:rPr>
        <w:t>I. INTRODUCTION</w:t>
      </w:r>
    </w:p>
    <w:p>
      <w:r>
        <w:t>Modern energy infrastructure depends increasingly on lithium-ion technology, from grid storage to electric mobility. However, the energy density of cells like the Molicel P42A introduces significant risks: a 10-cell series stack at 42 V can trigger thermal runaway or catastrophic equipment damage if not supervised actively. The BMCS project addresses this challenge by developing a custom, open-source supervision layer. This essay explores the ethical implications of commercializing such a system, focusing on the asymmetry between engineering knowledge and consumer safety, and the broader global impact of affordable battery management hardware.</w:t>
      </w:r>
    </w:p>
    <w:p>
      <w:pPr>
        <w:jc w:val="center"/>
      </w:pPr>
      <w:r>
        <w:rPr>
          <w:b/>
          <w:sz w:val="20"/>
        </w:rPr>
        <w:t>II. ETHICAL IMPLICATIONS OF COMMERCIALIZATION</w:t>
      </w:r>
    </w:p>
    <w:p>
      <w:r>
        <w:t>In a commercial context, the primary ethical implication of a BMS is public safety. A lithium-ion pack containing 151.2 Wh of energy is not an abstract laboratory component; it is a potential hazard. If a commercial BMS ships with incorrect overvoltage thresholds or a fault-masking bug, it fails its primary obligation to protect the user from fire or explosion. The ethical weight of this design sits in the asymmetry of information: a consumer purchasing an e-bike or solar backup has no means to verify whether the internal firmware protection logic is valid or if the shunt calibration is accurate. They rely entirely on the professional integrity of the engineers who designed the protection scheme.</w:t>
      </w:r>
    </w:p>
    <w:p>
      <w:r>
        <w:t>Data privacy also emerges as a significant ethical concern. The BMCS dashboard captures high-resolution telemetry, including cell voltage curves and charge histories streamed at 115200 baud. If commercialized for fleet management or shared mobility, this data could reveal sensitive usage patterns or user behaviors. An ethical engineering approach must include a transparent data policy and secure handling of telemetry to prevent the unauthorized exploitation of user information.</w:t>
      </w:r>
    </w:p>
    <w:p>
      <w:pPr>
        <w:jc w:val="center"/>
      </w:pPr>
      <w:r>
        <w:rPr>
          <w:b/>
          <w:sz w:val="20"/>
        </w:rPr>
        <w:t>III. ADDRESSING ETHICAL ISSUES THROUGH DESIGN</w:t>
      </w:r>
    </w:p>
    <w:p>
      <w:r>
        <w:t>The BMCS approach addresses safety concerns through hardware-level redundancy and autonomous protection. By utilizing the TI BQ76930 AFE, the system ensures that overvoltage (OV), undervoltage (UV), and short-circuit (SCD) protections are hardware-enforced. In the event of a short circuit, the AFE opens the discharge FET in 70 microseconds, independent of the STM32F303 firmware state. This design choice prioritizes deterministic safety over software flexibility, ensuring the pack remains protected even if the microcontroller stalls or enters a reset loop.</w:t>
      </w:r>
    </w:p>
    <w:p>
      <w:r>
        <w:t>To address the risk of firmware bugs during development, the team utilized a custom resistive cell emulator. This 0 hardware tool allowed for stable, repeatable testing of protection thresholds without exposing live cells to risk. This reflects a professional commitment to safety-first validation, using simulated environments to identify failure modes before moving to high-energy testing.</w:t>
      </w:r>
    </w:p>
    <w:p>
      <w:pPr>
        <w:jc w:val="center"/>
      </w:pPr>
      <w:r>
        <w:rPr>
          <w:b/>
          <w:sz w:val="20"/>
        </w:rPr>
        <w:t>IV. PROFESSIONAL AND ETHICAL LEARNINGS</w:t>
      </w:r>
    </w:p>
    <w:p>
      <w:r>
        <w:t>Working on the BMCS project provided formative lessons in technical tradeoffs. For example, the team deliberately chose passive cell balancing over active balancing. While passive balancing is less efficient due to energy dissipation as heat, it is simpler to validate and produces more predictable thermal behavior under time constraints. A professional engineer must be able to justify such tradeoffs honestly, documenting the thermal load implications rather than choosing a default without examination.</w:t>
      </w:r>
    </w:p>
    <w:p>
      <w:r>
        <w:t>A critical learning moment occurred during hardware bring-up when a TVS diode on the XT60 connector absorbed an arc flash, destroying itself but protecting the rest of the circuit. This event made the concept of sacrificial protection concrete. It demonstrated that a professional engineer must anticipate failure modes proactively. The habit of sitting at a bench with a high-energy system builds a sense of responsibility that cannot be replicated in theoretical coursework.</w:t>
      </w:r>
    </w:p>
    <w:p>
      <w:pPr>
        <w:jc w:val="center"/>
      </w:pPr>
      <w:r>
        <w:rPr>
          <w:b/>
          <w:sz w:val="20"/>
        </w:rPr>
        <w:t>V. GLOBAL, ECONOMIC, AND ENVIRONMENTAL IMPACT</w:t>
      </w:r>
    </w:p>
    <w:p>
      <w:r>
        <w:t>The global energy transition relies on reliable and affordable battery technology. Currently, commercial BMS units can cost upward of ,200, which creates a barrier to energy access in developing regions. A system built on the BMCS architecture has a realistic path to small-scale production at a much lower cost structure, potentially enabling distributed solar storage in sub-Saharan Africa or South Asia. Affordable battery management is a technical enabler for Sustainable Development Goal 7: universal access to affordable, reliable, and modern energy services.</w:t>
      </w:r>
    </w:p>
    <w:p>
      <w:r>
        <w:t>Environmentally, effective battery management is essential for sustainability. By keeping cells within safe operating windows and balancing charge distribution, the BMS significantly extends cell cycle life. This reduces the volume of hazardous battery waste entering disposal streams. However, an engineer must also acknowledge the economic drive for lithium and cobalt extraction. The goal of technical communication in this sector is to hold both the benefits of electrification and the ecological costs of manufacturing in balance.</w:t>
      </w:r>
    </w:p>
    <w:p>
      <w:r>
        <w:t>From a regulatory standpoint, a commercial version of this system would need to adhere to international standards like UL 9540 and IEC 62619. These are not merely bureaucratic hurdles but represent the accumulated knowledge of the engineering community regarding what can go wrong with lithium systems. Adhering to these standards is a fundamental component of the professional obligation to hold public safety above all other considerations.</w:t>
      </w:r>
    </w:p>
    <w:p>
      <w:pPr>
        <w:jc w:val="center"/>
      </w:pPr>
      <w:r>
        <w:rPr>
          <w:b/>
          <w:sz w:val="20"/>
        </w:rPr>
        <w:t>VI. CONCLUSION</w:t>
      </w:r>
    </w:p>
    <w:p>
      <w:r>
        <w:t>The BMCS project demonstrates that engineering a battery management system is as much an ethical task as a technical one. Through hardware-level protections, rigorous simulation with cell emulators, and the use of sacrificial components like TVS diodes, the design prioritizes public safety in a high-energy environment. As the world moves toward decentralized energy storage, the responsibility of the engineer is to provide transparent, reliable, and affordable hardware that protects both the user and the environment. The questions raised during this prototype phase are the same ones that define the global energy sector: they only become more consequential at scale.</w:t>
      </w:r>
    </w:p>
    <w:p>
      <w:pPr>
        <w:jc w:val="center"/>
      </w:pPr>
      <w:r>
        <w:rPr>
          <w:b/>
          <w:sz w:val="20"/>
        </w:rPr>
        <w:t>VII. REFERENCES</w:t>
      </w:r>
    </w:p>
    <w:p>
      <w:pPr>
        <w:ind w:left="360" w:hanging="360"/>
      </w:pPr>
      <w:r>
        <w:rPr>
          <w:sz w:val="18"/>
        </w:rPr>
        <w:t>[1] K. Vada et al., "Battery Management System," EE175AB Senior Design Final Report, Dept. Elect. and Comput. Eng., Univ. California, Riverside, CA, USA, 2026.</w:t>
      </w:r>
    </w:p>
    <w:p>
      <w:pPr>
        <w:ind w:left="360" w:hanging="360"/>
      </w:pPr>
      <w:r>
        <w:rPr>
          <w:sz w:val="18"/>
        </w:rPr>
        <w:t>[2] Texas Instruments, "BQ76930 6-Series to 10-Series Cell Li-Ion and Li-Phosphate Battery Monitor," BQ76930 Datasheet, Rev. H, 2022.</w:t>
      </w:r>
    </w:p>
    <w:p>
      <w:pPr>
        <w:ind w:left="360" w:hanging="360"/>
      </w:pPr>
      <w:r>
        <w:rPr>
          <w:sz w:val="18"/>
        </w:rPr>
        <w:t>[3] International Energy Agency (IEA), "SDG7: Data and Projections," IEA, Paris, 2022. [Online]. Available: https://www.iea.org/reports/sdg7-data-and-projections.</w:t>
      </w:r>
    </w:p>
    <w:p>
      <w:pPr>
        <w:ind w:left="360" w:hanging="360"/>
      </w:pPr>
      <w:r>
        <w:rPr>
          <w:sz w:val="18"/>
        </w:rPr>
        <w:t>[4] UL Standard for Safety for Energy Storage Systems and Equipment, UL 9540, 2023.</w:t>
      </w:r>
    </w:p>
    <w:p>
      <w:pPr>
        <w:ind w:left="360" w:hanging="360"/>
      </w:pPr>
      <w:r>
        <w:rPr>
          <w:sz w:val="18"/>
        </w:rPr>
        <w:t>[5] Safety requirements for secondary lithium cells and batteries for use in industrial applications, IEC 62619:2022, 2022.</w:t>
      </w:r>
    </w:p>
    <w:p>
      <w:pPr>
        <w:ind w:left="360" w:hanging="360"/>
      </w:pPr>
      <w:r>
        <w:rPr>
          <w:sz w:val="18"/>
        </w:rPr>
        <w:t>[6] Molicel, "Molicel P42A 21700 Data Sheet," Molicel,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