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val="0"/>
          <w:i w:val="0"/>
          <w:sz w:val="48"/>
        </w:rPr>
        <w:t>Understanding of Professional and Ethical Responsibility and Global,</w:t>
        <w:br/>
        <w:t>Economic, Environmental, and Societal Impact</w:t>
      </w:r>
    </w:p>
    <w:p>
      <w:pPr>
        <w:spacing w:before="0" w:after="120"/>
        <w:jc w:val="center"/>
      </w:pPr>
      <w:r>
        <w:rPr>
          <w:rFonts w:ascii="Times New Roman" w:hAnsi="Times New Roman"/>
          <w:b w:val="0"/>
          <w:i w:val="0"/>
          <w:sz w:val="32"/>
        </w:rPr>
        <w:t>Modular Battery Management and Communication Platform</w:t>
      </w:r>
    </w:p>
    <w:p>
      <w:pPr>
        <w:spacing w:before="0" w:after="40"/>
        <w:jc w:val="center"/>
      </w:pPr>
      <w:r>
        <w:rPr>
          <w:rFonts w:ascii="Times New Roman" w:hAnsi="Times New Roman"/>
          <w:b w:val="0"/>
          <w:i w:val="0"/>
          <w:sz w:val="22"/>
        </w:rPr>
        <w:t>Kaushik Vada, Connor Stewart, Nick Poon, Christian Kim</w:t>
      </w:r>
    </w:p>
    <w:p>
      <w:pPr>
        <w:spacing w:before="0" w:after="160"/>
        <w:jc w:val="center"/>
      </w:pPr>
      <w:r>
        <w:rPr>
          <w:rFonts w:ascii="Times New Roman" w:hAnsi="Times New Roman"/>
          <w:b w:val="0"/>
          <w:i/>
          <w:sz w:val="22"/>
        </w:rPr>
        <w:t>UC Riverside, EE 175AB, 2026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0152" w:type="dxa"/>
      </w:tblPr>
      <w:tblGrid>
        <w:gridCol w:w="5076"/>
        <w:gridCol w:w="5076"/>
      </w:tblGrid>
      <w:tblGrid>
        <w:gridCol w:w="5220"/>
        <w:gridCol w:w="5220"/>
      </w:tblGrid>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tcW w:w="5076" w:type="dxa"/>
            <w:tcMar>
              <w:top w:w="0" w:type="dxa"/>
              <w:bottom w:w="0" w:type="dxa"/>
              <w:left w:w="0" w:type="dxa"/>
              <w:right w:w="144" w:type="dxa"/>
            </w:tcMar>
          </w:tcPr>
          <w:p>
            <w:pPr>
              <w:spacing w:before="0" w:after="100"/>
              <w:jc w:val="both"/>
            </w:pPr>
            <w:r>
              <w:rPr>
                <w:rFonts w:ascii="Times New Roman" w:hAnsi="Times New Roman"/>
                <w:b/>
                <w:i/>
                <w:sz w:val="18"/>
              </w:rPr>
              <w:t>Abstract—</w:t>
            </w:r>
            <w:r>
              <w:rPr>
                <w:rFonts w:ascii="Times New Roman" w:hAnsi="Times New Roman"/>
                <w:b w:val="0"/>
                <w:i/>
                <w:sz w:val="18"/>
              </w:rPr>
              <w:t>This essay examines the professional, ethical, environmental, and societal implications of the Modular Battery Management and Communication Platform, a 36 V lithium-ion BMS developed for the EE 175AB senior design sequence at UC Riverside. The system supplies up to 4 A from a 10-series Molicel P42A pack, targeting personal electric mobility and embedded robotics. A commercial version would operate in dense urban environments where lithium-ion fires have already caused fatalities and prompted new certification rules in New York City and the European Union. The essay covers public safety and privacy, how the current design addresses them through layered hardware and firmware safeguards, what the team learned about engineering honesty, and the likely effects of low-cost open-architecture battery management on global markets.</w:t>
            </w:r>
          </w:p>
          <w:p>
            <w:pPr>
              <w:spacing w:before="0" w:after="200"/>
              <w:jc w:val="both"/>
            </w:pPr>
            <w:r>
              <w:rPr>
                <w:rFonts w:ascii="Times New Roman" w:hAnsi="Times New Roman"/>
                <w:b/>
                <w:i/>
                <w:sz w:val="18"/>
              </w:rPr>
              <w:t>Index Terms—</w:t>
            </w:r>
            <w:r>
              <w:rPr>
                <w:rFonts w:ascii="Times New Roman" w:hAnsi="Times New Roman"/>
                <w:b w:val="0"/>
                <w:i/>
                <w:sz w:val="18"/>
              </w:rPr>
              <w:t>battery management system, lithium-ion safety, micro-mobility, telemetry privacy, IEEE Code of Ethics</w:t>
            </w:r>
          </w:p>
          <w:p>
            <w:pPr>
              <w:spacing w:before="160" w:after="80"/>
              <w:jc w:val="center"/>
            </w:pPr>
            <w:r>
              <w:rPr>
                <w:rFonts w:ascii="Times New Roman" w:hAnsi="Times New Roman"/>
                <w:b w:val="0"/>
                <w:i w:val="0"/>
                <w:sz w:val="20"/>
                <w:smallCaps/>
              </w:rPr>
              <w:t>I.  Introduction</w:t>
            </w:r>
          </w:p>
          <w:p>
            <w:pPr>
              <w:spacing w:before="0" w:after="60"/>
              <w:ind w:firstLine="259"/>
              <w:jc w:val="both"/>
            </w:pPr>
            <w:r>
              <w:rPr>
                <w:rFonts w:ascii="Times New Roman" w:hAnsi="Times New Roman"/>
                <w:b w:val="0"/>
                <w:i w:val="0"/>
                <w:sz w:val="20"/>
              </w:rPr>
              <w:t>Lithium-ion fires in electric scooters and e-bikes have caused deaths, structural damage, and legislation in New York City, the European Union, and elsewhere [2]. At the same time, electrifying two-wheeled transport is one of the cheaper ways to cut transport-sector emissions in growing cities [7]. Engineers designing battery management systems sit between those two pressures, and there is no clean way to resolve them except to take safety seriously from the first schematic.</w:t>
            </w:r>
          </w:p>
          <w:p>
            <w:pPr>
              <w:spacing w:before="0" w:after="60"/>
              <w:ind w:firstLine="259"/>
              <w:jc w:val="both"/>
            </w:pPr>
            <w:r>
              <w:rPr>
                <w:rFonts w:ascii="Times New Roman" w:hAnsi="Times New Roman"/>
                <w:b w:val="0"/>
                <w:i w:val="0"/>
                <w:sz w:val="20"/>
              </w:rPr>
              <w:t>The Modular Battery Management and Communication Platform manages a 10-series lithium-ion pack with hardware-enforced fault protection and real-time telemetry. Its modular architecture lets the same board adapt to electric scooters, e-bikes, and embedded robotics platforms. The prototype was tested in a university lab, but a commercial version would run in public spaces where a single design failure can hurt bystanders who had nothing to do with the product.</w:t>
            </w:r>
          </w:p>
          <w:p>
            <w:pPr>
              <w:spacing w:before="0" w:after="60"/>
              <w:ind w:firstLine="259"/>
              <w:jc w:val="both"/>
            </w:pPr>
            <w:r>
              <w:rPr>
                <w:rFonts w:ascii="Times New Roman" w:hAnsi="Times New Roman"/>
                <w:b w:val="0"/>
                <w:i w:val="0"/>
                <w:sz w:val="20"/>
              </w:rPr>
              <w:t>This essay addresses four questions: what ethical issues a commercial version raises, how the current design responds to them, what the team learned about professional responsibility while building it, and what broader deployment would likely mean for the world.</w:t>
            </w:r>
          </w:p>
          <w:p>
            <w:pPr>
              <w:spacing w:before="160" w:after="80"/>
              <w:jc w:val="center"/>
            </w:pPr>
            <w:r>
              <w:rPr>
                <w:rFonts w:ascii="Times New Roman" w:hAnsi="Times New Roman"/>
                <w:b w:val="0"/>
                <w:i w:val="0"/>
                <w:sz w:val="20"/>
                <w:smallCaps/>
              </w:rPr>
              <w:t>II.  Deployment Context</w:t>
            </w:r>
          </w:p>
          <w:p>
            <w:pPr>
              <w:spacing w:before="0" w:after="60"/>
              <w:ind w:firstLine="259"/>
              <w:jc w:val="both"/>
            </w:pPr>
            <w:r>
              <w:rPr>
                <w:rFonts w:ascii="Times New Roman" w:hAnsi="Times New Roman"/>
                <w:b w:val="0"/>
                <w:i w:val="0"/>
                <w:sz w:val="20"/>
              </w:rPr>
              <w:t>The BMS outputs 36 V nominal at up to 4 A from a 10-series Molicel P42A pack. The prototype was tested in a controlled lab at UC Riverside, but a commercial version would operate in far less controlled environments.</w:t>
            </w:r>
          </w:p>
          <w:p>
            <w:pPr>
              <w:spacing w:before="0" w:after="60"/>
              <w:ind w:firstLine="259"/>
              <w:jc w:val="both"/>
            </w:pPr>
            <w:r>
              <w:rPr>
                <w:rFonts w:ascii="Times New Roman" w:hAnsi="Times New Roman"/>
                <w:b w:val="0"/>
                <w:i w:val="0"/>
                <w:sz w:val="20"/>
              </w:rPr>
              <w:t>Shared scooter and e-bike fleets operate in cities like Los Angeles, Amsterdam, Shenzhen, and Nairobi, each with different climate profiles, including tropical humidity, monsoon rain, and sub-freezing winters [1]. The BMS would also power embedded platforms like the NVIDIA Jetson Orin Nano in field robotics settings, where motor-drive EMI and sustained vibration are routine. End users range from riders who have never opened a battery enclosure to research engineers who read the telemetry GUI without knowing much about what the hardware underneath is doing. That range is what the design team is actually responsible for.</w:t>
            </w:r>
          </w:p>
          <w:p>
            <w:pPr>
              <w:spacing w:before="0" w:after="60"/>
              <w:ind w:firstLine="259"/>
              <w:jc w:val="both"/>
            </w:pPr>
            <w:r>
              <w:rPr>
                <w:rFonts w:ascii="Times New Roman" w:hAnsi="Times New Roman"/>
                <w:b w:val="0"/>
                <w:i w:val="0"/>
                <w:sz w:val="20"/>
              </w:rPr>
              <w:t>The pack stores about 151 Wh. When something goes wrong with a pack that size on a crowded sidewalk or in a transit station, the consequences land on people who did not choose to be near it. That context drove every safety decision in the design.</w:t>
            </w:r>
          </w:p>
          <w:p>
            <w:pPr>
              <w:spacing w:before="0" w:after="60"/>
              <w:ind w:firstLine="259"/>
              <w:jc w:val="both"/>
            </w:pPr>
            <w:r>
              <w:rPr>
                <w:rFonts w:ascii="Times New Roman" w:hAnsi="Times New Roman"/>
                <w:b w:val="0"/>
                <w:i w:val="0"/>
                <w:sz w:val="20"/>
              </w:rPr>
              <w:t>On data privacy: the BMS currently sends telemetry over USB CDC in a closed lab environment. In a commercial fleet product, the same data sent wirelessly carries location and usage patterns that fall under CCPA [3] and GDPR [4]. Engineers designing that version need to plan for anonymization, encryption, and access controls before the data starts flowing, not after.</w:t>
            </w:r>
          </w:p>
          <w:p>
            <w:pPr>
              <w:spacing w:before="160" w:after="80"/>
              <w:jc w:val="center"/>
            </w:pPr>
            <w:r>
              <w:rPr>
                <w:rFonts w:ascii="Times New Roman" w:hAnsi="Times New Roman"/>
                <w:b w:val="0"/>
                <w:i w:val="0"/>
                <w:sz w:val="20"/>
                <w:smallCaps/>
              </w:rPr>
              <w:t>III.  Ethical Implications of Commercialization</w:t>
            </w:r>
          </w:p>
          <w:p>
            <w:pPr>
              <w:spacing w:before="0" w:after="60"/>
              <w:ind w:firstLine="259"/>
              <w:jc w:val="both"/>
            </w:pPr>
            <w:r>
              <w:rPr>
                <w:rFonts w:ascii="Times New Roman" w:hAnsi="Times New Roman"/>
                <w:b w:val="0"/>
                <w:i w:val="0"/>
                <w:sz w:val="20"/>
              </w:rPr>
              <w:t>Lithium battery fires caused 18 deaths in New York City in 2023, which led to local legislation requiring UL certification for lithium batteries sold or rented in the city [2]. A BMS that goes to market has to protect reliably across the full service life of the pack, not just at nominal conditions on a bench.</w:t>
            </w:r>
          </w:p>
          <w:p>
            <w:pPr>
              <w:spacing w:before="0" w:after="60"/>
              <w:ind w:firstLine="259"/>
              <w:jc w:val="both"/>
            </w:pPr>
            <w:r>
              <w:rPr>
                <w:rFonts w:ascii="Times New Roman" w:hAnsi="Times New Roman"/>
                <w:b w:val="0"/>
                <w:i w:val="0"/>
                <w:sz w:val="20"/>
              </w:rPr>
              <w:t>The design uses hardware-layered protection for this reason. The Texas Instruments BQ76930 analog front end [12] handles fault protection independently of the STM32 firmware. Short-circuit protection trips within 70 µs with no software involvement, consistent with IEC 62133-2 short-circuit and overcharge requirements for portable lithium cells [5], since firmware-dependent protection is exposed to software bugs and communication failures that have contributed to real incidents. The mechanical relay serving as the final breaker replaced the original MOSFET-based design after datasheet discrepancies showed it could not be relied on under certain fault conditions. The change was made under schedule and budget constraints, consistent with the IEEE Code of Ethics requirement that engineers hold paramount the safety of the public [6].</w:t>
            </w:r>
          </w:p>
          <w:p>
            <w:pPr>
              <w:spacing w:before="0" w:after="60"/>
              <w:ind w:firstLine="259"/>
              <w:jc w:val="both"/>
            </w:pPr>
            <w:r>
              <w:rPr>
                <w:rFonts w:ascii="Times New Roman" w:hAnsi="Times New Roman"/>
                <w:b w:val="0"/>
                <w:i w:val="0"/>
                <w:sz w:val="20"/>
              </w:rPr>
              <w:t>Open architecture is also an ethical choice in this context. The first-run prototype cost about approximately $3,000 including development hardware. Separating the battery stack, firmware, and visualization layer makes the design easier to cost-reduce at volume and easier to adapt for different cell configurations. Hosting schematics and firmware on GitHub makes that knowledge available to student teams and small operators who cannot afford commercial alternatives.</w:t>
            </w:r>
          </w:p>
          <w:p>
            <w:pPr>
              <w:spacing w:before="0" w:after="60"/>
              <w:ind w:firstLine="259"/>
              <w:jc w:val="both"/>
            </w:pPr>
            <w:r>
              <w:rPr>
                <w:rFonts w:ascii="Times New Roman" w:hAnsi="Times New Roman"/>
                <w:b w:val="0"/>
                <w:i w:val="0"/>
                <w:sz w:val="20"/>
              </w:rPr>
              <w:t>The telemetry pipeline carries a data-ethics obligation even in its current form. Data minimization, purpose limitation, and user consent are not features that can be added later without restructuring what already exists. If the team ever builds a wireless fleet version, those decisions should already be made.</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tcW w:w="5076" w:type="dxa"/>
            <w:tcMar>
              <w:top w:w="0" w:type="dxa"/>
              <w:bottom w:w="0" w:type="dxa"/>
              <w:left w:w="144" w:type="dxa"/>
              <w:right w:w="0" w:type="dxa"/>
            </w:tcMar>
          </w:tcPr>
          <w:p>
            <w:pPr>
              <w:spacing w:before="160" w:after="80"/>
              <w:jc w:val="center"/>
            </w:pPr>
            <w:r>
              <w:rPr>
                <w:rFonts w:ascii="Times New Roman" w:hAnsi="Times New Roman"/>
                <w:b w:val="0"/>
                <w:i w:val="0"/>
                <w:sz w:val="20"/>
                <w:smallCaps/>
              </w:rPr>
              <w:t>IV.  Professional and Ethical Responsibility: Lessons Learned</w:t>
            </w:r>
          </w:p>
          <w:p>
            <w:pPr>
              <w:spacing w:before="0" w:after="60"/>
              <w:ind w:firstLine="259"/>
              <w:jc w:val="both"/>
            </w:pPr>
            <w:r>
              <w:rPr>
                <w:rFonts w:ascii="Times New Roman" w:hAnsi="Times New Roman"/>
                <w:b w:val="0"/>
                <w:i w:val="0"/>
                <w:sz w:val="20"/>
              </w:rPr>
              <w:t>The principal design lesson was that fault handling cannot be retrofitted; it must be designed in from the schematic stage. The IEEE Code of Ethics says to hold public safety paramount [6]. In practice, that meant every fault condition, including overcurrent, overvoltage, undervoltage, short circuit, and overtemperature, required documented test cases at 100% pass rate before the BMS connected to a live pack. The Cell Emulator PCB was built specifically so hardware fault testing did not expose the team to a live lithium pack during validation. Protecting the people who test the system matters as much as protecting the people who use it.</w:t>
            </w:r>
          </w:p>
          <w:p>
            <w:pPr>
              <w:spacing w:before="0" w:after="60"/>
              <w:ind w:firstLine="259"/>
              <w:jc w:val="both"/>
            </w:pPr>
            <w:r>
              <w:rPr>
                <w:rFonts w:ascii="Times New Roman" w:hAnsi="Times New Roman"/>
                <w:b w:val="0"/>
                <w:i w:val="0"/>
                <w:sz w:val="20"/>
              </w:rPr>
              <w:t>A second lesson concerned honest reporting when measured performance fell short of design targets. Post-production routing errors in the E-Load PCB made the original 5 A target unachievable. The options were to report numbers that could not be backed up, or to document the limitation, derate to 1 A, and describe the fix. The IEEE Code of Ethics asks engineers to be honest in stating claims based on available data [6]. In a safety-critical system, overstating performance is not just an embarrassment, it is a hazard, because users design their own systems around those specifications.</w:t>
            </w:r>
          </w:p>
          <w:p>
            <w:pPr>
              <w:spacing w:before="0" w:after="60"/>
              <w:ind w:firstLine="259"/>
              <w:jc w:val="both"/>
            </w:pPr>
            <w:r>
              <w:rPr>
                <w:rFonts w:ascii="Times New Roman" w:hAnsi="Times New Roman"/>
                <w:b w:val="0"/>
                <w:i w:val="0"/>
                <w:sz w:val="20"/>
              </w:rPr>
              <w:t>Documentation is engineering work, not overhead. Version-controlled PCB files, a firmware repository with a real README, and operator installation guides are how knowledge about a safety-critical system survives the engineers who built it. That matters more in this domain than in most.</w:t>
            </w:r>
          </w:p>
          <w:p>
            <w:pPr>
              <w:spacing w:before="160" w:after="80"/>
              <w:jc w:val="center"/>
            </w:pPr>
            <w:r>
              <w:rPr>
                <w:rFonts w:ascii="Times New Roman" w:hAnsi="Times New Roman"/>
                <w:b w:val="0"/>
                <w:i w:val="0"/>
                <w:sz w:val="20"/>
                <w:smallCaps/>
              </w:rPr>
              <w:t>V.  Global, Economic, Environmental, and Societal Impact</w:t>
            </w:r>
          </w:p>
          <w:p>
            <w:pPr>
              <w:spacing w:before="0" w:after="60"/>
              <w:ind w:firstLine="259"/>
              <w:jc w:val="both"/>
            </w:pPr>
            <w:r>
              <w:rPr>
                <w:rFonts w:ascii="Times New Roman" w:hAnsi="Times New Roman"/>
                <w:b w:val="0"/>
                <w:i w:val="0"/>
                <w:sz w:val="20"/>
              </w:rPr>
              <w:t>The biggest global opportunity for this platform is in developing markets. Across sub-Saharan Africa, South and Southeast Asia, and Latin America, urban mobility runs on petrol-powered motorcycles and scooters that are a major source of local air pollution and transport-sector carbon. The IEA treats electrifying those fleets as one of the more accessible mitigation paths [7]. The constraint is not the cells or the motors, it is battery management that local manufacturers can actually source, repair, and understand. An open-architecture BMS built to IPC-2221 standards [10] with AEC-Q components [11] where possible is useful in that context in a way that a closed commercial unit is not.</w:t>
            </w:r>
          </w:p>
          <w:p>
            <w:pPr>
              <w:spacing w:before="0" w:after="60"/>
              <w:ind w:firstLine="259"/>
              <w:jc w:val="both"/>
            </w:pPr>
            <w:r>
              <w:rPr>
                <w:rFonts w:ascii="Times New Roman" w:hAnsi="Times New Roman"/>
                <w:b w:val="0"/>
                <w:i w:val="0"/>
                <w:sz w:val="20"/>
              </w:rPr>
              <w:t>Cell balancing also matters environmentally at scale. Keeping weaker cells from degrading faster than the rest of the pack extends total pack life, which means fewer packs manufactured, less lithium and cobalt extracted, and less battery waste. That benefit compounds with adoption.</w:t>
            </w:r>
          </w:p>
          <w:p>
            <w:pPr>
              <w:spacing w:before="0" w:after="60"/>
              <w:ind w:firstLine="259"/>
              <w:jc w:val="both"/>
            </w:pPr>
            <w:r>
              <w:rPr>
                <w:rFonts w:ascii="Times New Roman" w:hAnsi="Times New Roman"/>
                <w:b w:val="0"/>
                <w:i w:val="0"/>
                <w:sz w:val="20"/>
              </w:rPr>
              <w:t>Regulatorily, the EU Battery Regulation (EU) 2023/1542 [8] now requires BMS performance data, carbon footprint declarations, and end-of-life collection for EV batteries including light electric vehicles. The CPSC is developing mandatory safety standards for e-mobility devices in the US after a series of high-profile fires [9]. Early conformance to IPC-2221, hardware fault protection, and clean signal integrity should make certification tractable when the time comes.</w:t>
            </w:r>
          </w:p>
          <w:p>
            <w:pPr>
              <w:spacing w:before="0" w:after="60"/>
              <w:ind w:firstLine="259"/>
              <w:jc w:val="both"/>
            </w:pPr>
            <w:r>
              <w:rPr>
                <w:rFonts w:ascii="Times New Roman" w:hAnsi="Times New Roman"/>
                <w:b w:val="0"/>
                <w:i w:val="0"/>
                <w:sz w:val="20"/>
              </w:rPr>
              <w:t>In rural and peri-urban communities with weak grid access, reliable battery storage supports small business, medical refrigeration, and communications infrastructure. A BMS with separated, documented layers is easier to adapt and teach where engineering budgets are small and staff learns by doing.</w:t>
            </w:r>
          </w:p>
          <w:p>
            <w:pPr>
              <w:spacing w:before="160" w:after="80"/>
              <w:jc w:val="center"/>
            </w:pPr>
            <w:r>
              <w:rPr>
                <w:rFonts w:ascii="Times New Roman" w:hAnsi="Times New Roman"/>
                <w:b w:val="0"/>
                <w:i w:val="0"/>
                <w:sz w:val="20"/>
                <w:smallCaps/>
              </w:rPr>
              <w:t>VI.  Conclusion</w:t>
            </w:r>
          </w:p>
          <w:p>
            <w:pPr>
              <w:spacing w:before="0" w:after="60"/>
              <w:ind w:firstLine="259"/>
              <w:jc w:val="both"/>
            </w:pPr>
            <w:r>
              <w:rPr>
                <w:rFonts w:ascii="Times New Roman" w:hAnsi="Times New Roman"/>
                <w:b w:val="0"/>
                <w:i w:val="0"/>
                <w:sz w:val="20"/>
              </w:rPr>
              <w:t>Technically, this is a 36 V lithium-ion safety and telemetry system. The harder part was the judgment calls: what to protect, how to handle a spec that could not be met, what to put in writing. Hardware-independent fault protection, honest performance reporting, open-source architecture, conformance to industry standards, and documented fault validation are all consistent with what the IEEE Code of Ethics actually asks for. The global and societal potential of affordable, safe battery management is real. Whether it matters in practice depends on whether the engineers who build and sell it treat public safety as the first constraint in the design rather than a late-stage compliance check.</w:t>
            </w:r>
          </w:p>
          <w:p>
            <w:pPr>
              <w:spacing w:before="160" w:after="80"/>
              <w:jc w:val="center"/>
            </w:pPr>
            <w:r>
              <w:rPr>
                <w:rFonts w:ascii="Times New Roman" w:hAnsi="Times New Roman"/>
                <w:b w:val="0"/>
                <w:i w:val="0"/>
                <w:sz w:val="20"/>
                <w:smallCaps/>
              </w:rPr>
              <w:t>References</w:t>
            </w:r>
          </w:p>
          <w:p>
            <w:pPr>
              <w:spacing w:before="0" w:after="40"/>
              <w:ind w:left="317" w:hanging="317"/>
              <w:jc w:val="both"/>
            </w:pPr>
            <w:r>
              <w:rPr>
                <w:rFonts w:ascii="Times New Roman" w:hAnsi="Times New Roman"/>
                <w:b w:val="0"/>
                <w:i w:val="0"/>
                <w:sz w:val="16"/>
              </w:rPr>
              <w:t xml:space="preserve">[1] </w:t>
            </w:r>
            <w:r>
              <w:rPr>
                <w:rFonts w:ascii="Times New Roman" w:hAnsi="Times New Roman"/>
                <w:b w:val="0"/>
                <w:i w:val="0"/>
                <w:sz w:val="16"/>
              </w:rPr>
              <w:t>Bird Global, Inc., “Sustainability Report,” Miami, FL, USA, 2022. [Online]. Available: https://www.bird.co/sustainability/</w:t>
            </w:r>
          </w:p>
          <w:p>
            <w:pPr>
              <w:spacing w:before="0" w:after="40"/>
              <w:ind w:left="317" w:hanging="317"/>
              <w:jc w:val="both"/>
            </w:pPr>
            <w:r>
              <w:rPr>
                <w:rFonts w:ascii="Times New Roman" w:hAnsi="Times New Roman"/>
                <w:b w:val="0"/>
                <w:i w:val="0"/>
                <w:sz w:val="16"/>
              </w:rPr>
              <w:t xml:space="preserve">[2] </w:t>
            </w:r>
            <w:r>
              <w:rPr>
                <w:rFonts w:ascii="Times New Roman" w:hAnsi="Times New Roman"/>
                <w:b w:val="0"/>
                <w:i w:val="0"/>
                <w:sz w:val="16"/>
              </w:rPr>
              <w:t>New York City Fire Department, “FDNY Public Safety Bulletin: Lithium-Ion Battery Fires,” New York, NY, USA, 2023. [Online]. Available: https://www.nyc.gov/site/fdny/</w:t>
            </w:r>
          </w:p>
          <w:p>
            <w:pPr>
              <w:spacing w:before="0" w:after="40"/>
              <w:ind w:left="317" w:hanging="317"/>
              <w:jc w:val="both"/>
            </w:pPr>
            <w:r>
              <w:rPr>
                <w:rFonts w:ascii="Times New Roman" w:hAnsi="Times New Roman"/>
                <w:b w:val="0"/>
                <w:i w:val="0"/>
                <w:sz w:val="16"/>
              </w:rPr>
              <w:t xml:space="preserve">[3] </w:t>
            </w:r>
            <w:r>
              <w:rPr>
                <w:rFonts w:ascii="Times New Roman" w:hAnsi="Times New Roman"/>
                <w:b w:val="0"/>
                <w:i w:val="0"/>
                <w:sz w:val="16"/>
              </w:rPr>
              <w:t>State of California, “California Consumer Privacy Act of 2018,” Cal. Civ. Code, sec. 1798.100 et seq., 2018.</w:t>
            </w:r>
          </w:p>
          <w:p>
            <w:pPr>
              <w:spacing w:before="0" w:after="40"/>
              <w:ind w:left="317" w:hanging="317"/>
              <w:jc w:val="both"/>
            </w:pPr>
            <w:r>
              <w:rPr>
                <w:rFonts w:ascii="Times New Roman" w:hAnsi="Times New Roman"/>
                <w:b w:val="0"/>
                <w:i w:val="0"/>
                <w:sz w:val="16"/>
              </w:rPr>
              <w:t xml:space="preserve">[4] </w:t>
            </w:r>
            <w:r>
              <w:rPr>
                <w:rFonts w:ascii="Times New Roman" w:hAnsi="Times New Roman"/>
                <w:b w:val="0"/>
                <w:i w:val="0"/>
                <w:sz w:val="16"/>
              </w:rPr>
              <w:t>European Parliament and Council, “Regulation (EU) 2016/679 (General Data Protection Regulation),” Official Journal of the European Union, vol. L 119, pp. 1–88, May 2016.</w:t>
            </w:r>
          </w:p>
          <w:p>
            <w:pPr>
              <w:spacing w:before="0" w:after="40"/>
              <w:ind w:left="317" w:hanging="317"/>
              <w:jc w:val="both"/>
            </w:pPr>
            <w:r>
              <w:rPr>
                <w:rFonts w:ascii="Times New Roman" w:hAnsi="Times New Roman"/>
                <w:b w:val="0"/>
                <w:i w:val="0"/>
                <w:sz w:val="16"/>
              </w:rPr>
              <w:t xml:space="preserve">[5] </w:t>
            </w:r>
            <w:r>
              <w:rPr>
                <w:rFonts w:ascii="Times New Roman" w:hAnsi="Times New Roman"/>
                <w:b w:val="0"/>
                <w:i w:val="0"/>
                <w:sz w:val="16"/>
              </w:rPr>
              <w:t>International Electrotechnical Commission, “IEC 62133-2: Secondary cells and batteries containing alkaline or other non-acid electrolytes. Safety requirements for portable sealed secondary lithium cells,” IEC, Geneva, Switzerland, 2017.</w:t>
            </w:r>
          </w:p>
          <w:p>
            <w:pPr>
              <w:spacing w:before="0" w:after="40"/>
              <w:ind w:left="317" w:hanging="317"/>
              <w:jc w:val="both"/>
            </w:pPr>
            <w:r>
              <w:rPr>
                <w:rFonts w:ascii="Times New Roman" w:hAnsi="Times New Roman"/>
                <w:b w:val="0"/>
                <w:i w:val="0"/>
                <w:sz w:val="16"/>
              </w:rPr>
              <w:t xml:space="preserve">[6] </w:t>
            </w:r>
            <w:r>
              <w:rPr>
                <w:rFonts w:ascii="Times New Roman" w:hAnsi="Times New Roman"/>
                <w:b w:val="0"/>
                <w:i w:val="0"/>
                <w:sz w:val="16"/>
              </w:rPr>
              <w:t>IEEE, “IEEE Code of Ethics,” IEEE Policies, sec. 7.8, 2020. [Online]. Available: https://www.ieee.org/about/corporate/governance/p7-8.html</w:t>
            </w:r>
          </w:p>
          <w:p>
            <w:pPr>
              <w:spacing w:before="0" w:after="40"/>
              <w:ind w:left="317" w:hanging="317"/>
              <w:jc w:val="both"/>
            </w:pPr>
            <w:r>
              <w:rPr>
                <w:rFonts w:ascii="Times New Roman" w:hAnsi="Times New Roman"/>
                <w:b w:val="0"/>
                <w:i w:val="0"/>
                <w:sz w:val="16"/>
              </w:rPr>
              <w:t xml:space="preserve">[7] </w:t>
            </w:r>
            <w:r>
              <w:rPr>
                <w:rFonts w:ascii="Times New Roman" w:hAnsi="Times New Roman"/>
                <w:b w:val="0"/>
                <w:i w:val="0"/>
                <w:sz w:val="16"/>
              </w:rPr>
              <w:t>International Energy Agency, “Global EV Outlook 2024,” IEA, Paris, France, 2024. [Online]. Available: https://www.iea.org/reports/global-ev-outlook-2024</w:t>
            </w:r>
          </w:p>
          <w:p>
            <w:pPr>
              <w:spacing w:before="0" w:after="40"/>
              <w:ind w:left="317" w:hanging="317"/>
              <w:jc w:val="both"/>
            </w:pPr>
            <w:r>
              <w:rPr>
                <w:rFonts w:ascii="Times New Roman" w:hAnsi="Times New Roman"/>
                <w:b w:val="0"/>
                <w:i w:val="0"/>
                <w:sz w:val="16"/>
              </w:rPr>
              <w:t xml:space="preserve">[8] </w:t>
            </w:r>
            <w:r>
              <w:rPr>
                <w:rFonts w:ascii="Times New Roman" w:hAnsi="Times New Roman"/>
                <w:b w:val="0"/>
                <w:i w:val="0"/>
                <w:sz w:val="16"/>
              </w:rPr>
              <w:t>European Parliament and Council, “Regulation (EU) 2023/1542 concerning batteries and waste batteries,” Official Journal of the European Union, vol. L 191, pp. 1–117, Jul. 2023.</w:t>
            </w:r>
          </w:p>
          <w:p>
            <w:pPr>
              <w:spacing w:before="0" w:after="40"/>
              <w:ind w:left="317" w:hanging="317"/>
              <w:jc w:val="both"/>
            </w:pPr>
            <w:r>
              <w:rPr>
                <w:rFonts w:ascii="Times New Roman" w:hAnsi="Times New Roman"/>
                <w:b w:val="0"/>
                <w:i w:val="0"/>
                <w:sz w:val="16"/>
              </w:rPr>
              <w:t xml:space="preserve">[9] </w:t>
            </w:r>
            <w:r>
              <w:rPr>
                <w:rFonts w:ascii="Times New Roman" w:hAnsi="Times New Roman"/>
                <w:b w:val="0"/>
                <w:i w:val="0"/>
                <w:sz w:val="16"/>
              </w:rPr>
              <w:t>U.S. Consumer Product Safety Commission, “Letter to Manufacturers, Importers, Distributors, and Retailers of Lithium-Ion Batteries and Products Containing Such Batteries,” CPSC, Bethesda, MD, USA, Dec. 2022.</w:t>
            </w:r>
          </w:p>
          <w:p>
            <w:pPr>
              <w:spacing w:before="0" w:after="40"/>
              <w:ind w:left="317" w:hanging="317"/>
              <w:jc w:val="both"/>
            </w:pPr>
            <w:r>
              <w:rPr>
                <w:rFonts w:ascii="Times New Roman" w:hAnsi="Times New Roman"/>
                <w:b w:val="0"/>
                <w:i w:val="0"/>
                <w:sz w:val="16"/>
              </w:rPr>
              <w:t xml:space="preserve">[10] </w:t>
            </w:r>
            <w:r>
              <w:rPr>
                <w:rFonts w:ascii="Times New Roman" w:hAnsi="Times New Roman"/>
                <w:b w:val="0"/>
                <w:i w:val="0"/>
                <w:sz w:val="16"/>
              </w:rPr>
              <w:t>IPC, “IPC-2221B: Generic Standard on Printed Board Design,” IPC, Bannockburn, IL, USA, 2012.</w:t>
            </w:r>
          </w:p>
          <w:p>
            <w:pPr>
              <w:spacing w:before="0" w:after="40"/>
              <w:ind w:left="317" w:hanging="317"/>
              <w:jc w:val="both"/>
            </w:pPr>
            <w:r>
              <w:rPr>
                <w:rFonts w:ascii="Times New Roman" w:hAnsi="Times New Roman"/>
                <w:b w:val="0"/>
                <w:i w:val="0"/>
                <w:sz w:val="16"/>
              </w:rPr>
              <w:t xml:space="preserve">[11] </w:t>
            </w:r>
            <w:r>
              <w:rPr>
                <w:rFonts w:ascii="Times New Roman" w:hAnsi="Times New Roman"/>
                <w:b w:val="0"/>
                <w:i w:val="0"/>
                <w:sz w:val="16"/>
              </w:rPr>
              <w:t>Automotive Electronics Council, “AEC-Q100 Rev-H: Failure Mechanism Based Stress Test Qualification for Integrated Circuits,” AEC, 2014.</w:t>
            </w:r>
          </w:p>
          <w:p>
            <w:pPr>
              <w:spacing w:before="0" w:after="40"/>
              <w:ind w:left="317" w:hanging="317"/>
              <w:jc w:val="both"/>
            </w:pPr>
            <w:r>
              <w:rPr>
                <w:rFonts w:ascii="Times New Roman" w:hAnsi="Times New Roman"/>
                <w:b w:val="0"/>
                <w:i w:val="0"/>
                <w:sz w:val="16"/>
              </w:rPr>
              <w:t xml:space="preserve">[12] </w:t>
            </w:r>
            <w:r>
              <w:rPr>
                <w:rFonts w:ascii="Times New Roman" w:hAnsi="Times New Roman"/>
                <w:b w:val="0"/>
                <w:i w:val="0"/>
                <w:sz w:val="16"/>
              </w:rPr>
              <w:t>Texas Instruments, “BQ76930 3-Series to 15-Series Cell Battery Monitor and Protector,” Datasheet SLUSBK3, Dallas, TX, USA, 2018. [Online]. Available: https://www.ti.com/product/BQ76930</w:t>
            </w:r>
          </w:p>
        </w:tc>
      </w:tr>
    </w:tbl>
    <w:sectPr w:rsidR="00FC693F" w:rsidRPr="0006063C" w:rsidSect="00034616">
      <w:pgSz w:w="12240" w:h="15840"/>
      <w:pgMar w:top="1080" w:right="900" w:bottom="1440" w:left="9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