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val="0"/>
          <w:i w:val="0"/>
          <w:sz w:val="48"/>
        </w:rPr>
        <w:t>Understanding of Professional and Ethical Responsibility and Global,</w:t>
        <w:br/>
        <w:t>Economic, Environmental, and Societal Impact</w:t>
      </w:r>
    </w:p>
    <w:p>
      <w:pPr>
        <w:spacing w:before="0" w:after="120"/>
        <w:jc w:val="center"/>
      </w:pPr>
      <w:r>
        <w:rPr>
          <w:rFonts w:ascii="Times New Roman" w:hAnsi="Times New Roman"/>
          <w:b w:val="0"/>
          <w:i w:val="0"/>
          <w:sz w:val="32"/>
        </w:rPr>
        <w:t>Modular Battery Management and Communication Platform</w:t>
      </w:r>
    </w:p>
    <w:p>
      <w:pPr>
        <w:spacing w:before="0" w:after="40"/>
        <w:jc w:val="center"/>
      </w:pPr>
      <w:r>
        <w:rPr>
          <w:rFonts w:ascii="Times New Roman" w:hAnsi="Times New Roman"/>
          <w:b w:val="0"/>
          <w:i w:val="0"/>
          <w:sz w:val="22"/>
        </w:rPr>
        <w:t>Kaushik Vada, Connor Stewart, Nick Poon, Christian Kim</w:t>
      </w:r>
    </w:p>
    <w:p>
      <w:pPr>
        <w:spacing w:before="0" w:after="160"/>
        <w:jc w:val="center"/>
      </w:pPr>
      <w:r>
        <w:rPr>
          <w:rFonts w:ascii="Times New Roman" w:hAnsi="Times New Roman"/>
          <w:b w:val="0"/>
          <w:i/>
          <w:sz w:val="22"/>
        </w:rPr>
        <w:t>UC Riverside, EE 175AB, 2026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0152" w:type="dxa"/>
      </w:tblPr>
      <w:tblGrid>
        <w:gridCol w:w="5076"/>
        <w:gridCol w:w="5076"/>
      </w:tblGrid>
      <w:tblGrid>
        <w:gridCol w:w="5220"/>
        <w:gridCol w:w="5220"/>
      </w:tblGrid>
      <w:tr>
        <w:tc>
          <w:tcPr>
            <w:tcBorders>
              <w:top w:val="none" w:sz="0" w:space="0" w:color="auto"/>
              <w:left w:val="none" w:sz="0" w:space="0" w:color="auto"/>
              <w:bottom w:val="none" w:sz="0" w:space="0" w:color="auto"/>
              <w:right w:val="none" w:sz="0" w:space="0" w:color="auto"/>
              <w:insideH w:val="none" w:sz="0" w:space="0" w:color="auto"/>
              <w:insideV w:val="none" w:sz="0" w:space="0" w:color="auto"/>
            </w:tcBorders>
            <w:tcW w:w="5076" w:type="dxa"/>
            <w:tcMar>
              <w:top w:w="0" w:type="dxa"/>
              <w:bottom w:w="0" w:type="dxa"/>
              <w:left w:w="0" w:type="dxa"/>
              <w:right w:w="144" w:type="dxa"/>
            </w:tcMar>
          </w:tcPr>
          <w:p>
            <w:pPr>
              <w:spacing w:before="0" w:after="100"/>
              <w:jc w:val="both"/>
            </w:pPr>
            <w:r>
              <w:rPr>
                <w:rFonts w:ascii="Times New Roman" w:hAnsi="Times New Roman"/>
                <w:b/>
                <w:i/>
                <w:sz w:val="18"/>
              </w:rPr>
              <w:t>Abstract—</w:t>
            </w:r>
            <w:r>
              <w:rPr>
                <w:rFonts w:ascii="Times New Roman" w:hAnsi="Times New Roman"/>
                <w:b w:val="0"/>
                <w:i/>
                <w:sz w:val="18"/>
              </w:rPr>
              <w:t>A battery management system decides whether a lithium pack is safe, useful, or on fire, so the choices behind it are not only technical. This essay covers the professional, ethical, environmental, and societal questions raised by the Modular Battery Management and Communication Platform built for the EE 175AB senior design sequence at UC Riverside. The platform supplies 36 V at up to 4 A from a 10-series Molicel P42A pack and is aimed at electric scooters, e-bikes, skateboards, and embedded robotics. A commercial version would operate in dense urban environments where lithium-ion fires have already killed people and triggered new certification rules in New York City and the European Union. The design responds with layered hardware and firmware safeguards, honest performance reporting, and an open-source architecture meant to make safe battery management more accessible outside well-resourced markets.</w:t>
            </w:r>
          </w:p>
          <w:p>
            <w:pPr>
              <w:spacing w:before="0" w:after="200"/>
              <w:jc w:val="both"/>
            </w:pPr>
            <w:r>
              <w:rPr>
                <w:rFonts w:ascii="Times New Roman" w:hAnsi="Times New Roman"/>
                <w:b/>
                <w:i/>
                <w:sz w:val="18"/>
              </w:rPr>
              <w:t>Index Terms—</w:t>
            </w:r>
            <w:r>
              <w:rPr>
                <w:rFonts w:ascii="Times New Roman" w:hAnsi="Times New Roman"/>
                <w:b w:val="0"/>
                <w:i/>
                <w:sz w:val="18"/>
              </w:rPr>
              <w:t>battery management system, lithium-ion safety, micro-mobility, telemetry privacy, IEEE Code of Ethics</w:t>
            </w:r>
          </w:p>
          <w:p>
            <w:pPr>
              <w:spacing w:before="160" w:after="80"/>
              <w:jc w:val="center"/>
            </w:pPr>
            <w:r>
              <w:rPr>
                <w:rFonts w:ascii="Times New Roman" w:hAnsi="Times New Roman"/>
                <w:b w:val="0"/>
                <w:i w:val="0"/>
                <w:sz w:val="20"/>
                <w:smallCaps/>
              </w:rPr>
              <w:t>I.  Introduction</w:t>
            </w:r>
          </w:p>
          <w:p>
            <w:pPr>
              <w:spacing w:before="0" w:after="60"/>
              <w:ind w:firstLine="259"/>
              <w:jc w:val="both"/>
            </w:pPr>
            <w:r>
              <w:rPr>
                <w:rFonts w:ascii="Times New Roman" w:hAnsi="Times New Roman"/>
                <w:b w:val="0"/>
                <w:i w:val="0"/>
                <w:sz w:val="20"/>
              </w:rPr>
              <w:t>Eighteen people died in New York City lithium-ion fires in 2023 [2]. The European Union has answered with certification mandates; most US cities are still writing theirs. At the same time, electrifying two-wheeled urban transport is one of the cheaper ways to cut transport emissions in growing cities [7]. Engineers building battery management systems sit between those two pressures, and the only way through is to take safety seriously from the first schematic.</w:t>
            </w:r>
          </w:p>
          <w:p>
            <w:pPr>
              <w:spacing w:before="0" w:after="60"/>
              <w:ind w:firstLine="259"/>
              <w:jc w:val="both"/>
            </w:pPr>
            <w:r>
              <w:rPr>
                <w:rFonts w:ascii="Times New Roman" w:hAnsi="Times New Roman"/>
                <w:b w:val="0"/>
                <w:i w:val="0"/>
                <w:sz w:val="20"/>
              </w:rPr>
              <w:t>The Modular Battery Management and Communication Platform manages a 10-series lithium-ion pack with hardware-enforced fault protection and real-time telemetry. The same board can be adapted to electric scooters, e-bikes, or embedded robotics. The prototype was tested in a university lab. A commercial version would run in transit stations, on sidewalks, and in field environments, where a single design failure can hurt people who had nothing to do with the product.</w:t>
            </w:r>
          </w:p>
          <w:p>
            <w:pPr>
              <w:spacing w:before="0" w:after="60"/>
              <w:ind w:firstLine="259"/>
              <w:jc w:val="both"/>
            </w:pPr>
            <w:r>
              <w:rPr>
                <w:rFonts w:ascii="Times New Roman" w:hAnsi="Times New Roman"/>
                <w:b w:val="0"/>
                <w:i w:val="0"/>
                <w:sz w:val="20"/>
              </w:rPr>
              <w:t>This essay covers four things: the ethical issues a commercial version raises, how the current design responds to them, what the team learned about professional responsibility while building it, and what wider deployment would mean.</w:t>
            </w:r>
          </w:p>
          <w:p>
            <w:pPr>
              <w:spacing w:before="160" w:after="80"/>
              <w:jc w:val="center"/>
            </w:pPr>
            <w:r>
              <w:rPr>
                <w:rFonts w:ascii="Times New Roman" w:hAnsi="Times New Roman"/>
                <w:b w:val="0"/>
                <w:i w:val="0"/>
                <w:sz w:val="20"/>
                <w:smallCaps/>
              </w:rPr>
              <w:t>II.  Deployment Context</w:t>
            </w:r>
          </w:p>
          <w:p>
            <w:pPr>
              <w:spacing w:before="0" w:after="60"/>
              <w:ind w:firstLine="259"/>
              <w:jc w:val="both"/>
            </w:pPr>
            <w:r>
              <w:rPr>
                <w:rFonts w:ascii="Times New Roman" w:hAnsi="Times New Roman"/>
                <w:b w:val="0"/>
                <w:i w:val="0"/>
                <w:sz w:val="20"/>
              </w:rPr>
              <w:t>The BMS outputs 36 V nominal at up to 4 A from a 10-series Molicel P42A pack. The prototype was tested in a controlled UC Riverside lab; commercial deployment is a different problem. Shared scooter and e-bike fleets now operate in cities across multiple continents [1], from tropical humidity to sub-freezing winters. The same board would also power embedded platforms like the NVIDIA Jetson Orin Nano in field robotics, where motor-drive EMI and sustained vibration are part of normal operation.</w:t>
            </w:r>
          </w:p>
          <w:p>
            <w:pPr>
              <w:spacing w:before="0" w:after="60"/>
              <w:ind w:firstLine="259"/>
              <w:jc w:val="both"/>
            </w:pPr>
            <w:r>
              <w:rPr>
                <w:rFonts w:ascii="Times New Roman" w:hAnsi="Times New Roman"/>
                <w:b w:val="0"/>
                <w:i w:val="0"/>
                <w:sz w:val="20"/>
              </w:rPr>
              <w:t>End users range from riders who have never opened a battery enclosure to research engineers who watch the telemetry GUI without knowing much about what the hardware underneath is doing. The design team is responsible for both.</w:t>
            </w:r>
          </w:p>
          <w:p>
            <w:pPr>
              <w:spacing w:before="0" w:after="60"/>
              <w:ind w:firstLine="259"/>
              <w:jc w:val="both"/>
            </w:pPr>
            <w:r>
              <w:rPr>
                <w:rFonts w:ascii="Times New Roman" w:hAnsi="Times New Roman"/>
                <w:b w:val="0"/>
                <w:i w:val="0"/>
                <w:sz w:val="20"/>
              </w:rPr>
              <w:t>A 151 Wh pack on a crowded sidewalk is not a thought experiment. When something fails at that energy density in a public space, the consequences land on bystanders who never chose to be near it. That shaped every protection decision in the design.</w:t>
            </w:r>
          </w:p>
          <w:p>
            <w:pPr>
              <w:spacing w:before="0" w:after="60"/>
              <w:ind w:firstLine="259"/>
              <w:jc w:val="both"/>
            </w:pPr>
            <w:r>
              <w:rPr>
                <w:rFonts w:ascii="Times New Roman" w:hAnsi="Times New Roman"/>
                <w:b w:val="0"/>
                <w:i w:val="0"/>
                <w:sz w:val="20"/>
              </w:rPr>
              <w:t>Data carries its own obligations. The BMS currently sends telemetry over USB CDC in a closed lab; in a commercial fleet product, the equivalent wireless stream carries location and usage patterns that fall under CCPA [3] and GDPR [4]. Anonymization, encryption, and access control have to be planned before the data starts flowing, instead of bolted on afterward.</w:t>
            </w:r>
          </w:p>
          <w:p>
            <w:pPr>
              <w:spacing w:before="160" w:after="80"/>
              <w:jc w:val="center"/>
            </w:pPr>
            <w:r>
              <w:rPr>
                <w:rFonts w:ascii="Times New Roman" w:hAnsi="Times New Roman"/>
                <w:b w:val="0"/>
                <w:i w:val="0"/>
                <w:sz w:val="20"/>
                <w:smallCaps/>
              </w:rPr>
              <w:t>III.  Ethical Implications of Commercialization</w:t>
            </w:r>
          </w:p>
          <w:p>
            <w:pPr>
              <w:spacing w:before="0" w:after="60"/>
              <w:ind w:firstLine="259"/>
              <w:jc w:val="both"/>
            </w:pPr>
            <w:r>
              <w:rPr>
                <w:rFonts w:ascii="Times New Roman" w:hAnsi="Times New Roman"/>
                <w:b w:val="0"/>
                <w:i w:val="0"/>
                <w:sz w:val="20"/>
              </w:rPr>
              <w:t>The 18 lithium-ion fire deaths in New York City in 2023 led to local legislation requiring UL certification for any lithium battery sold or rented in the city [2]. That kind of response is what happens when safety-critical products reach the market without adequate protection across the pack’s full service life, instead of only at bench-nominal conditions.</w:t>
            </w:r>
          </w:p>
          <w:p>
            <w:pPr>
              <w:spacing w:before="0" w:after="60"/>
              <w:ind w:firstLine="259"/>
              <w:jc w:val="both"/>
            </w:pPr>
            <w:r>
              <w:rPr>
                <w:rFonts w:ascii="Times New Roman" w:hAnsi="Times New Roman"/>
                <w:b w:val="0"/>
                <w:i w:val="0"/>
                <w:sz w:val="20"/>
              </w:rPr>
              <w:t>The design uses hardware-layered protection for that reason. The Texas Instruments BQ76930 analog front end [12] handles fault protection independently of the STM32 firmware. Short-circuit protection trips within 70 µs without any software involvement, in line with the short-circuit and overcharge safety framework IEC 62133-2 defines for portable lithium cells [5]. Firmware-only protection is exposed to software bugs and communication failures that have caused real incidents, so the critical faults are handled before firmware enters the picture.</w:t>
            </w:r>
          </w:p>
          <w:p>
            <w:pPr>
              <w:spacing w:before="0" w:after="60"/>
              <w:ind w:firstLine="259"/>
              <w:jc w:val="both"/>
            </w:pPr>
            <w:r>
              <w:rPr>
                <w:rFonts w:ascii="Times New Roman" w:hAnsi="Times New Roman"/>
                <w:b w:val="0"/>
                <w:i w:val="0"/>
                <w:sz w:val="20"/>
              </w:rPr>
              <w:t>The switch from a MOSFET-based final breaker to a mechanical relay shows that priority in practice. Datasheet discrepancies showed the MOSFET design could not be relied on under certain fault conditions. The change was made under real schedule and budget pressure, in line with the IEEE Code of Ethics requirement to hold public safety paramount [6]. The budget was tight; the safety requirement was not negotiable.</w:t>
            </w:r>
          </w:p>
          <w:p>
            <w:pPr>
              <w:spacing w:before="0" w:after="60"/>
              <w:ind w:firstLine="259"/>
              <w:jc w:val="both"/>
            </w:pPr>
            <w:r>
              <w:rPr>
                <w:rFonts w:ascii="Times New Roman" w:hAnsi="Times New Roman"/>
                <w:b w:val="0"/>
                <w:i w:val="0"/>
                <w:sz w:val="20"/>
              </w:rPr>
              <w:t>Open architecture also has ethical weight. The first-run prototype cost about $3,000 including development hardware. Separating the battery stack, firmware, and visualization layer makes the design easier to cost-reduce at volume and easier to adapt for different cell configurations. Hosting schematics and firmware on GitHub puts that knowledge in front of student teams and small operators who cannot afford commercial alternatives. Safe, understandable battery management is not a given in lower-resource contexts, and an open architecture chips away at that.</w:t>
            </w:r>
          </w:p>
          <w:p>
            <w:pPr>
              <w:spacing w:before="0" w:after="60"/>
              <w:ind w:firstLine="259"/>
              <w:jc w:val="both"/>
            </w:pPr>
            <w:r>
              <w:rPr>
                <w:rFonts w:ascii="Times New Roman" w:hAnsi="Times New Roman"/>
                <w:b w:val="0"/>
                <w:i w:val="0"/>
                <w:sz w:val="20"/>
              </w:rPr>
              <w:t>Even in its current closed-lab form, the telemetry pipeline has a data-ethics obligation. Data minimization, purpose limitation, and user consent are architectural decisions, and retrofitting them onto an existing pipeline is harder than designing them in from the start. If the team ever builds a wireless fleet version, those choices should already be settled.</w:t>
            </w:r>
          </w:p>
        </w:tc>
        <w:tc>
          <w:tcPr>
            <w:tcBorders>
              <w:top w:val="none" w:sz="0" w:space="0" w:color="auto"/>
              <w:left w:val="none" w:sz="0" w:space="0" w:color="auto"/>
              <w:bottom w:val="none" w:sz="0" w:space="0" w:color="auto"/>
              <w:right w:val="none" w:sz="0" w:space="0" w:color="auto"/>
              <w:insideH w:val="none" w:sz="0" w:space="0" w:color="auto"/>
              <w:insideV w:val="none" w:sz="0" w:space="0" w:color="auto"/>
            </w:tcBorders>
            <w:tcW w:w="5076" w:type="dxa"/>
            <w:tcMar>
              <w:top w:w="0" w:type="dxa"/>
              <w:bottom w:w="0" w:type="dxa"/>
              <w:left w:w="144" w:type="dxa"/>
              <w:right w:w="0" w:type="dxa"/>
            </w:tcMar>
          </w:tcPr>
          <w:p>
            <w:pPr>
              <w:spacing w:before="160" w:after="80"/>
              <w:jc w:val="center"/>
            </w:pPr>
            <w:r>
              <w:rPr>
                <w:rFonts w:ascii="Times New Roman" w:hAnsi="Times New Roman"/>
                <w:b w:val="0"/>
                <w:i w:val="0"/>
                <w:sz w:val="20"/>
                <w:smallCaps/>
              </w:rPr>
              <w:t>IV.  Professional and Ethical Responsibility: Lessons Learned</w:t>
            </w:r>
          </w:p>
          <w:p>
            <w:pPr>
              <w:spacing w:before="0" w:after="60"/>
              <w:ind w:firstLine="259"/>
              <w:jc w:val="both"/>
            </w:pPr>
            <w:r>
              <w:rPr>
                <w:rFonts w:ascii="Times New Roman" w:hAnsi="Times New Roman"/>
                <w:b w:val="0"/>
                <w:i w:val="0"/>
                <w:sz w:val="20"/>
              </w:rPr>
              <w:t>The biggest design lesson was that fault handling cannot be retrofitted. It has to be designed in at the schematic stage. In hardware, the IEEE Code of Ethics requirement to hold public safety paramount [6] has a concrete meaning: every fault condition—overcurrent, overvoltage, undervoltage, short circuit, overtemperature—needed documented test cases at a 100% pass rate before the BMS connected to a live pack. The Cell Emulator PCB was built specifically so hardware fault testing did not expose the team to a live lithium pack. Protecting the engineers who validate the system is part of public safety, not a separate problem.</w:t>
            </w:r>
          </w:p>
          <w:p>
            <w:pPr>
              <w:spacing w:before="0" w:after="60"/>
              <w:ind w:firstLine="259"/>
              <w:jc w:val="both"/>
            </w:pPr>
            <w:r>
              <w:rPr>
                <w:rFonts w:ascii="Times New Roman" w:hAnsi="Times New Roman"/>
                <w:b w:val="0"/>
                <w:i w:val="0"/>
                <w:sz w:val="20"/>
              </w:rPr>
              <w:t>Honest reporting was the harder discipline. Post-production routing errors in the E-Load PCB made the original 5 A target impossible. The temptation in that situation is to report numbers you cannot back up. The IEEE Code of Ethics is explicit that engineers must be honest in stating claims based on available data [6]. In a safety-critical system, overstating performance is a hazard, since users design their own systems around your specifications, and a wrong number in a datasheet can become a real failure in the field. The team documented the limitation, derated to 1 A, and described the fix. That is what honest engineering looks like under pressure.</w:t>
            </w:r>
          </w:p>
          <w:p>
            <w:pPr>
              <w:spacing w:before="0" w:after="60"/>
              <w:ind w:firstLine="259"/>
              <w:jc w:val="both"/>
            </w:pPr>
            <w:r>
              <w:rPr>
                <w:rFonts w:ascii="Times New Roman" w:hAnsi="Times New Roman"/>
                <w:b w:val="0"/>
                <w:i w:val="0"/>
                <w:sz w:val="20"/>
              </w:rPr>
              <w:t>Documentation is engineering work. Version-controlled PCB files, a firmware repository with a real README, and operator installation guides are how knowledge about a safety-critical system survives the people who built it. In this kind of system, that continuity matters more than usual.</w:t>
            </w:r>
          </w:p>
          <w:p>
            <w:pPr>
              <w:spacing w:before="160" w:after="80"/>
              <w:jc w:val="center"/>
            </w:pPr>
            <w:r>
              <w:rPr>
                <w:rFonts w:ascii="Times New Roman" w:hAnsi="Times New Roman"/>
                <w:b w:val="0"/>
                <w:i w:val="0"/>
                <w:sz w:val="20"/>
                <w:smallCaps/>
              </w:rPr>
              <w:t>V.  Global, Economic, Environmental, and Societal Impact</w:t>
            </w:r>
          </w:p>
          <w:p>
            <w:pPr>
              <w:spacing w:before="0" w:after="60"/>
              <w:ind w:firstLine="259"/>
              <w:jc w:val="both"/>
            </w:pPr>
            <w:r>
              <w:rPr>
                <w:rFonts w:ascii="Times New Roman" w:hAnsi="Times New Roman"/>
                <w:b w:val="0"/>
                <w:i w:val="0"/>
                <w:sz w:val="20"/>
              </w:rPr>
              <w:t>The biggest global opportunity for this platform is in developing markets. Across sub-Saharan Africa, South and Southeast Asia, and Latin America, urban mobility runs on petrol-powered motorcycles and scooters, which are a major source of local air pollution and transport carbon. The IEA treats electrifying those fleets as one of the more accessible mitigation paths [7]. The bottleneck is not cells or motors. It is battery management that local manufacturers can source, repair, and actually understand. An open-architecture BMS built to IPC-2221 [10] with AEC-Q components [11] where applicable is useful in that context in a way a closed commercial unit is not.</w:t>
            </w:r>
          </w:p>
          <w:p>
            <w:pPr>
              <w:spacing w:before="0" w:after="60"/>
              <w:ind w:firstLine="259"/>
              <w:jc w:val="both"/>
            </w:pPr>
            <w:r>
              <w:rPr>
                <w:rFonts w:ascii="Times New Roman" w:hAnsi="Times New Roman"/>
                <w:b w:val="0"/>
                <w:i w:val="0"/>
                <w:sz w:val="20"/>
              </w:rPr>
              <w:t>Cell balancing matters environmentally too. Keeping weaker cells from degrading ahead of the rest of the pack extends total pack life, which means fewer packs manufactured, less lithium and cobalt mined, and less battery waste at end of life. The benefit grows with adoption.</w:t>
            </w:r>
          </w:p>
          <w:p>
            <w:pPr>
              <w:spacing w:before="0" w:after="60"/>
              <w:ind w:firstLine="259"/>
              <w:jc w:val="both"/>
            </w:pPr>
            <w:r>
              <w:rPr>
                <w:rFonts w:ascii="Times New Roman" w:hAnsi="Times New Roman"/>
                <w:b w:val="0"/>
                <w:i w:val="0"/>
                <w:sz w:val="20"/>
              </w:rPr>
              <w:t>Regulation is moving in one direction. The EU Battery Regulation (EU) 2023/1542 [8] now requires BMS performance data, carbon footprint declarations, and end-of-life collection for EV batteries, including light electric vehicles. After a series of high-profile fires, the CPSC has urged manufacturers, importers, and retailers of lithium-ion batteries and e-mobility devices to certify compliance with consensus UL standards [9], and has since moved toward mandatory US standards. Early conformance to IPC-2221, hardware-independent fault protection, and clean signal integrity should make certification tractable without a structural redesign.</w:t>
            </w:r>
          </w:p>
          <w:p>
            <w:pPr>
              <w:spacing w:before="0" w:after="60"/>
              <w:ind w:firstLine="259"/>
              <w:jc w:val="both"/>
            </w:pPr>
            <w:r>
              <w:rPr>
                <w:rFonts w:ascii="Times New Roman" w:hAnsi="Times New Roman"/>
                <w:b w:val="0"/>
                <w:i w:val="0"/>
                <w:sz w:val="20"/>
              </w:rPr>
              <w:t>In rural and peri-urban communities with limited grid access, reliable battery storage is not a convenience. It backs small businesses, medical refrigeration, and communications infrastructure. A BMS with clearly separated, documented layers is easier to adapt and easier to teach where engineering budgets are tight and staff learn by working directly with the hardware.</w:t>
            </w:r>
          </w:p>
          <w:p>
            <w:pPr>
              <w:spacing w:before="160" w:after="80"/>
              <w:jc w:val="center"/>
            </w:pPr>
            <w:r>
              <w:rPr>
                <w:rFonts w:ascii="Times New Roman" w:hAnsi="Times New Roman"/>
                <w:b w:val="0"/>
                <w:i w:val="0"/>
                <w:sz w:val="20"/>
                <w:smallCaps/>
              </w:rPr>
              <w:t>VI.  Conclusion</w:t>
            </w:r>
          </w:p>
          <w:p>
            <w:pPr>
              <w:spacing w:before="0" w:after="60"/>
              <w:ind w:firstLine="259"/>
              <w:jc w:val="both"/>
            </w:pPr>
            <w:r>
              <w:rPr>
                <w:rFonts w:ascii="Times New Roman" w:hAnsi="Times New Roman"/>
                <w:b w:val="0"/>
                <w:i w:val="0"/>
                <w:sz w:val="20"/>
              </w:rPr>
              <w:t>At a technical level, this is a 36 V lithium-ion safety and telemetry system. The harder part was the judgment calls: which fault conditions to protect against and how, how to handle a spec the hardware could not meet, and what to put in writing. Hardware-independent fault protection, honest performance reporting, open-source architecture, conformance to industry standards, and documented fault validation are not separate decisions. They are all what the IEEE Code of Ethics asks for in practice.</w:t>
            </w:r>
          </w:p>
          <w:p>
            <w:pPr>
              <w:spacing w:before="0" w:after="60"/>
              <w:ind w:firstLine="259"/>
              <w:jc w:val="both"/>
            </w:pPr>
            <w:r>
              <w:rPr>
                <w:rFonts w:ascii="Times New Roman" w:hAnsi="Times New Roman"/>
                <w:b w:val="0"/>
                <w:i w:val="0"/>
                <w:sz w:val="20"/>
              </w:rPr>
              <w:t>The potential for affordable, verifiable battery management to matter globally is real. Whether it actually does depends on whether the engineers who build and sell these systems treat public safety as the first constraint in the design, instead of a compliance check at the end. The technical work was the straightforward part. The ethical commitments are what decide whether any of it matters.</w:t>
            </w:r>
          </w:p>
          <w:p>
            <w:pPr>
              <w:spacing w:before="160" w:after="80"/>
              <w:jc w:val="center"/>
            </w:pPr>
            <w:r>
              <w:rPr>
                <w:rFonts w:ascii="Times New Roman" w:hAnsi="Times New Roman"/>
                <w:b w:val="0"/>
                <w:i w:val="0"/>
                <w:sz w:val="20"/>
                <w:smallCaps/>
              </w:rPr>
              <w:t>References</w:t>
            </w:r>
          </w:p>
          <w:p>
            <w:pPr>
              <w:spacing w:before="0" w:after="40"/>
              <w:ind w:left="317" w:hanging="317"/>
              <w:jc w:val="both"/>
            </w:pPr>
            <w:r>
              <w:rPr>
                <w:rFonts w:ascii="Times New Roman" w:hAnsi="Times New Roman"/>
                <w:b w:val="0"/>
                <w:i w:val="0"/>
                <w:sz w:val="16"/>
              </w:rPr>
              <w:t xml:space="preserve">[1] </w:t>
            </w:r>
            <w:r>
              <w:rPr>
                <w:rFonts w:ascii="Times New Roman" w:hAnsi="Times New Roman"/>
                <w:b w:val="0"/>
                <w:i w:val="0"/>
                <w:sz w:val="16"/>
              </w:rPr>
              <w:t>Bird Global, Inc., “Sustainability Report,” Miami, FL, USA, 2022. [Online]. Available: https://www.bird.co/sustainability/</w:t>
            </w:r>
          </w:p>
          <w:p>
            <w:pPr>
              <w:spacing w:before="0" w:after="40"/>
              <w:ind w:left="317" w:hanging="317"/>
              <w:jc w:val="both"/>
            </w:pPr>
            <w:r>
              <w:rPr>
                <w:rFonts w:ascii="Times New Roman" w:hAnsi="Times New Roman"/>
                <w:b w:val="0"/>
                <w:i w:val="0"/>
                <w:sz w:val="16"/>
              </w:rPr>
              <w:t xml:space="preserve">[2] </w:t>
            </w:r>
            <w:r>
              <w:rPr>
                <w:rFonts w:ascii="Times New Roman" w:hAnsi="Times New Roman"/>
                <w:b w:val="0"/>
                <w:i w:val="0"/>
                <w:sz w:val="16"/>
              </w:rPr>
              <w:t>New York City Fire Department, “Lithium-Ion Battery Safety,” New York, NY, USA, 2023. [Online]. Available: https://www.nyc.gov/site/fdny/codes/reference/lithium-ion-battery-safety.page</w:t>
            </w:r>
          </w:p>
          <w:p>
            <w:pPr>
              <w:spacing w:before="0" w:after="40"/>
              <w:ind w:left="317" w:hanging="317"/>
              <w:jc w:val="both"/>
            </w:pPr>
            <w:r>
              <w:rPr>
                <w:rFonts w:ascii="Times New Roman" w:hAnsi="Times New Roman"/>
                <w:b w:val="0"/>
                <w:i w:val="0"/>
                <w:sz w:val="16"/>
              </w:rPr>
              <w:t xml:space="preserve">[3] </w:t>
            </w:r>
            <w:r>
              <w:rPr>
                <w:rFonts w:ascii="Times New Roman" w:hAnsi="Times New Roman"/>
                <w:b w:val="0"/>
                <w:i w:val="0"/>
                <w:sz w:val="16"/>
              </w:rPr>
              <w:t>State of California, “California Consumer Privacy Act of 2018,” Cal. Civ. Code, sec. 1798.100 et seq., 2018.</w:t>
            </w:r>
          </w:p>
          <w:p>
            <w:pPr>
              <w:spacing w:before="0" w:after="40"/>
              <w:ind w:left="317" w:hanging="317"/>
              <w:jc w:val="both"/>
            </w:pPr>
            <w:r>
              <w:rPr>
                <w:rFonts w:ascii="Times New Roman" w:hAnsi="Times New Roman"/>
                <w:b w:val="0"/>
                <w:i w:val="0"/>
                <w:sz w:val="16"/>
              </w:rPr>
              <w:t xml:space="preserve">[4] </w:t>
            </w:r>
            <w:r>
              <w:rPr>
                <w:rFonts w:ascii="Times New Roman" w:hAnsi="Times New Roman"/>
                <w:b w:val="0"/>
                <w:i w:val="0"/>
                <w:sz w:val="16"/>
              </w:rPr>
              <w:t>European Parliament and Council, “Regulation (EU) 2016/679 (General Data Protection Regulation),” Official Journal of the European Union, vol. L 119, pp. 1–88, May 2016.</w:t>
            </w:r>
          </w:p>
          <w:p>
            <w:pPr>
              <w:spacing w:before="0" w:after="40"/>
              <w:ind w:left="317" w:hanging="317"/>
              <w:jc w:val="both"/>
            </w:pPr>
            <w:r>
              <w:rPr>
                <w:rFonts w:ascii="Times New Roman" w:hAnsi="Times New Roman"/>
                <w:b w:val="0"/>
                <w:i w:val="0"/>
                <w:sz w:val="16"/>
              </w:rPr>
              <w:t xml:space="preserve">[5] </w:t>
            </w:r>
            <w:r>
              <w:rPr>
                <w:rFonts w:ascii="Times New Roman" w:hAnsi="Times New Roman"/>
                <w:b w:val="0"/>
                <w:i w:val="0"/>
                <w:sz w:val="16"/>
              </w:rPr>
              <w:t>International Electrotechnical Commission, “IEC 62133-2: Secondary cells and batteries containing alkaline or other non-acid electrolytes. Safety requirements for portable sealed secondary lithium cells,” IEC, Geneva, Switzerland, 2017.</w:t>
            </w:r>
          </w:p>
          <w:p>
            <w:pPr>
              <w:spacing w:before="0" w:after="40"/>
              <w:ind w:left="317" w:hanging="317"/>
              <w:jc w:val="both"/>
            </w:pPr>
            <w:r>
              <w:rPr>
                <w:rFonts w:ascii="Times New Roman" w:hAnsi="Times New Roman"/>
                <w:b w:val="0"/>
                <w:i w:val="0"/>
                <w:sz w:val="16"/>
              </w:rPr>
              <w:t xml:space="preserve">[6] </w:t>
            </w:r>
            <w:r>
              <w:rPr>
                <w:rFonts w:ascii="Times New Roman" w:hAnsi="Times New Roman"/>
                <w:b w:val="0"/>
                <w:i w:val="0"/>
                <w:sz w:val="16"/>
              </w:rPr>
              <w:t>IEEE, “IEEE Code of Ethics,” IEEE Policies, sec. 7.8, 2020. [Online]. Available: https://www.ieee.org/about/corporate/governance/p7-8</w:t>
            </w:r>
          </w:p>
          <w:p>
            <w:pPr>
              <w:spacing w:before="0" w:after="40"/>
              <w:ind w:left="317" w:hanging="317"/>
              <w:jc w:val="both"/>
            </w:pPr>
            <w:r>
              <w:rPr>
                <w:rFonts w:ascii="Times New Roman" w:hAnsi="Times New Roman"/>
                <w:b w:val="0"/>
                <w:i w:val="0"/>
                <w:sz w:val="16"/>
              </w:rPr>
              <w:t xml:space="preserve">[7] </w:t>
            </w:r>
            <w:r>
              <w:rPr>
                <w:rFonts w:ascii="Times New Roman" w:hAnsi="Times New Roman"/>
                <w:b w:val="0"/>
                <w:i w:val="0"/>
                <w:sz w:val="16"/>
              </w:rPr>
              <w:t>International Energy Agency, “Global EV Outlook 2024,” IEA, Paris, France, 2024. [Online]. Available: https://www.iea.org/reports/global-ev-outlook-2024</w:t>
            </w:r>
          </w:p>
          <w:p>
            <w:pPr>
              <w:spacing w:before="0" w:after="40"/>
              <w:ind w:left="317" w:hanging="317"/>
              <w:jc w:val="both"/>
            </w:pPr>
            <w:r>
              <w:rPr>
                <w:rFonts w:ascii="Times New Roman" w:hAnsi="Times New Roman"/>
                <w:b w:val="0"/>
                <w:i w:val="0"/>
                <w:sz w:val="16"/>
              </w:rPr>
              <w:t xml:space="preserve">[8] </w:t>
            </w:r>
            <w:r>
              <w:rPr>
                <w:rFonts w:ascii="Times New Roman" w:hAnsi="Times New Roman"/>
                <w:b w:val="0"/>
                <w:i w:val="0"/>
                <w:sz w:val="16"/>
              </w:rPr>
              <w:t>European Parliament and Council, “Regulation (EU) 2023/1542 concerning batteries and waste batteries,” Official Journal of the European Union, vol. L 191, pp. 1–117, Jul. 2023.</w:t>
            </w:r>
          </w:p>
          <w:p>
            <w:pPr>
              <w:spacing w:before="0" w:after="40"/>
              <w:ind w:left="317" w:hanging="317"/>
              <w:jc w:val="both"/>
            </w:pPr>
            <w:r>
              <w:rPr>
                <w:rFonts w:ascii="Times New Roman" w:hAnsi="Times New Roman"/>
                <w:b w:val="0"/>
                <w:i w:val="0"/>
                <w:sz w:val="16"/>
              </w:rPr>
              <w:t xml:space="preserve">[9] </w:t>
            </w:r>
            <w:r>
              <w:rPr>
                <w:rFonts w:ascii="Times New Roman" w:hAnsi="Times New Roman"/>
                <w:b w:val="0"/>
                <w:i w:val="0"/>
                <w:sz w:val="16"/>
              </w:rPr>
              <w:t>U.S. Consumer Product Safety Commission, “Letter to Manufacturers, Importers, Distributors, and Retailers of Lithium-Ion Batteries and Products Containing Such Batteries,” CPSC, Bethesda, MD, USA, Dec. 2022.</w:t>
            </w:r>
          </w:p>
          <w:p>
            <w:pPr>
              <w:spacing w:before="0" w:after="40"/>
              <w:ind w:left="317" w:hanging="317"/>
              <w:jc w:val="both"/>
            </w:pPr>
            <w:r>
              <w:rPr>
                <w:rFonts w:ascii="Times New Roman" w:hAnsi="Times New Roman"/>
                <w:b w:val="0"/>
                <w:i w:val="0"/>
                <w:sz w:val="16"/>
              </w:rPr>
              <w:t xml:space="preserve">[10] </w:t>
            </w:r>
            <w:r>
              <w:rPr>
                <w:rFonts w:ascii="Times New Roman" w:hAnsi="Times New Roman"/>
                <w:b w:val="0"/>
                <w:i w:val="0"/>
                <w:sz w:val="16"/>
              </w:rPr>
              <w:t>IPC, “IPC-2221B: Generic Standard on Printed Board Design,” IPC, Bannockburn, IL, USA, 2012.</w:t>
            </w:r>
          </w:p>
          <w:p>
            <w:pPr>
              <w:spacing w:before="0" w:after="40"/>
              <w:ind w:left="317" w:hanging="317"/>
              <w:jc w:val="both"/>
            </w:pPr>
            <w:r>
              <w:rPr>
                <w:rFonts w:ascii="Times New Roman" w:hAnsi="Times New Roman"/>
                <w:b w:val="0"/>
                <w:i w:val="0"/>
                <w:sz w:val="16"/>
              </w:rPr>
              <w:t xml:space="preserve">[11] </w:t>
            </w:r>
            <w:r>
              <w:rPr>
                <w:rFonts w:ascii="Times New Roman" w:hAnsi="Times New Roman"/>
                <w:b w:val="0"/>
                <w:i w:val="0"/>
                <w:sz w:val="16"/>
              </w:rPr>
              <w:t>Automotive Electronics Council, “AEC-Q100 Rev-H: Failure Mechanism Based Stress Test Qualification for Integrated Circuits,” AEC, 2014.</w:t>
            </w:r>
          </w:p>
          <w:p>
            <w:pPr>
              <w:spacing w:before="0" w:after="40"/>
              <w:ind w:left="317" w:hanging="317"/>
              <w:jc w:val="both"/>
            </w:pPr>
            <w:r>
              <w:rPr>
                <w:rFonts w:ascii="Times New Roman" w:hAnsi="Times New Roman"/>
                <w:b w:val="0"/>
                <w:i w:val="0"/>
                <w:sz w:val="16"/>
              </w:rPr>
              <w:t xml:space="preserve">[12] </w:t>
            </w:r>
            <w:r>
              <w:rPr>
                <w:rFonts w:ascii="Times New Roman" w:hAnsi="Times New Roman"/>
                <w:b w:val="0"/>
                <w:i w:val="0"/>
                <w:sz w:val="16"/>
              </w:rPr>
              <w:t>Texas Instruments, “BQ769x0 3-Series to 15-Series Cell Battery Monitor Family for Li-Ion and Phosphate Applications,” Datasheet SLUSBK2I, Dallas, TX, USA, Mar. 2022. [Online]. Available: https://www.ti.com/product/BQ76930</w:t>
            </w:r>
          </w:p>
        </w:tc>
      </w:tr>
    </w:tbl>
    <w:sectPr w:rsidR="00FC693F" w:rsidRPr="0006063C" w:rsidSect="00034616">
      <w:pgSz w:w="12240" w:h="15840"/>
      <w:pgMar w:top="1080" w:right="900" w:bottom="1440" w:left="9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