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Understanding Professional and Ethical Responsibility and Global, Economic, Environmental and Societal Impact of the BMCS Project</w:t>
      </w:r>
    </w:p>
    <w:p>
      <w:pPr>
        <w:jc w:val="center"/>
      </w:pPr>
      <w:r>
        <w:rPr>
          <w:sz w:val="22"/>
        </w:rPr>
        <w:t>Kaushik Vada   |   EE175AB Senior Design   |   UC Riverside   |   May 5, 2026</w:t>
      </w:r>
    </w:p>
    <w:p>
      <w:pPr>
        <w:jc w:val="center"/>
      </w:pPr>
      <w:r>
        <w:rPr>
          <w:b/>
        </w:rPr>
        <w:t>Abstract</w:t>
      </w:r>
    </w:p>
    <w:p>
      <w:pPr>
        <w:ind w:left="720" w:right="720"/>
      </w:pPr>
      <w:r>
        <w:rPr>
          <w:i/>
        </w:rPr>
        <w:t>This essay examines the professional and ethical duties tied to designing a Battery Management and Control System for high capacity lithium-ion stacks. Drawing from the EE175AB Senior Design project, the focus stays on hardware safety needed to manage 10-series Molicel P42A cells. These cells can push over 100 A during a fault. I show how using the TI BQ76930 Analog Front End meets the ethical requirement for public safety through 70-microsecond short-circuit protection that works even if firmware fails. The essay also looks at global and environmental effects. Accessible BMS technology enables renewable energy storage and extends cell life to cut down on hazardous waste. I conclude that engineering responsibility in the battery world requires a conservative design that expects failures and uses sacrificial parts to prevent them.</w:t>
      </w:r>
    </w:p>
    <w:p>
      <w:pPr>
        <w:ind w:left="720" w:right="720"/>
      </w:pPr>
      <w:r>
        <w:rPr>
          <w:b/>
          <w:i/>
        </w:rPr>
        <w:t>Index Terms—</w:t>
      </w:r>
      <w:r>
        <w:t>Battery management systems (BMS), engineering ethics, public safety, lithium-ion safety, renewable energy storage.</w:t>
      </w:r>
    </w:p>
    <w:p>
      <w:pPr>
        <w:jc w:val="center"/>
      </w:pPr>
      <w:r>
        <w:rPr>
          <w:b/>
          <w:sz w:val="20"/>
        </w:rPr>
        <w:t>I. INTRODUCTION</w:t>
      </w:r>
    </w:p>
    <w:p>
      <w:r>
        <w:t>Energy systems now rely on lithium-ion technology for everything from grid storage to electric cars. But the energy in cells like the Molicel P42A creates risk. A 10-cell series stack at 42 V can cause fire or destroy equipment without active monitoring. The BMCS project addresses this by creating a custom supervision layer. This essay looks at the ethics of selling such a system. I focus on the gap between what the engineer knows and what the consumer needs to stay safe. I also consider how cheap battery management hardware changes things on a global scale.</w:t>
      </w:r>
    </w:p>
    <w:p>
      <w:pPr>
        <w:jc w:val="center"/>
      </w:pPr>
      <w:r>
        <w:rPr>
          <w:b/>
          <w:sz w:val="20"/>
        </w:rPr>
        <w:t>II. ETHICAL IMPLICATIONS OF COMMERCIALIZATION</w:t>
      </w:r>
    </w:p>
    <w:p>
      <w:r>
        <w:t>If you sell a BMS, the biggest ethical issue is public safety. A battery pack with 151.2 Wh of energy is a hazard. If a commercial BMS has wrong voltage limits or a bug that hides a fault, it fails to protect the person using it. The ethical weight here comes from an information gap. A customer buying an e-bike or solar setup cannot check the firmware logic or the sensor calibration. They have to trust the integrity of the engineers who built it.</w:t>
      </w:r>
    </w:p>
    <w:p>
      <w:r>
        <w:t>Privacy is also an ethical problem. The BMCS dashboard tracks high-resolution data including voltage curves and charge history. If used for vehicle fleets or shared bikes, this data could expose where people go or how they behave. An ethical design needs a clear data policy. We have to handle telemetry securely so user information is not exploited.</w:t>
      </w:r>
    </w:p>
    <w:p>
      <w:pPr>
        <w:jc w:val="center"/>
      </w:pPr>
      <w:r>
        <w:rPr>
          <w:b/>
          <w:sz w:val="20"/>
        </w:rPr>
        <w:t>III. ADDRESSING ETHICAL ISSUES THROUGH DESIGN</w:t>
      </w:r>
    </w:p>
    <w:p>
      <w:r>
        <w:t>The BMCS project handles safety through hardware redundancy. By using the TI BQ76930 AFE, we make sure protection is built into the silicon. If a short circuit happens, the AFE cuts the power in 70 microseconds. This happens without the STM32F303 firmware. We chose deterministic safety over software flexibility. The pack stays protected even if the microcontroller gets stuck or restarts.</w:t>
      </w:r>
    </w:p>
    <w:p>
      <w:r>
        <w:t>We also addressed firmware risks during development. We used a custom resistive cell emulator instead of real batteries. This 0 tool let us test voltage limits safely. It shows a professional commitment to validation. We found failure modes in a simulation before testing with high energy.</w:t>
      </w:r>
    </w:p>
    <w:p>
      <w:pPr>
        <w:jc w:val="center"/>
      </w:pPr>
      <w:r>
        <w:rPr>
          <w:b/>
          <w:sz w:val="20"/>
        </w:rPr>
        <w:t>IV. PROFESSIONAL AND ETHICAL LEARNINGS</w:t>
      </w:r>
    </w:p>
    <w:p>
      <w:r>
        <w:t>Building the BMCS taught me about technical tradeoffs. We chose passive cell balancing instead of active balancing. Passive balancing is less efficient because it wastes energy as heat. But it is easier to test and its thermal behavior is more predictable. An engineer has to justify these choices. You have to document the heat load instead of just picking a default setting.</w:t>
      </w:r>
    </w:p>
    <w:p>
      <w:r>
        <w:t>I learned a lot when a TVS diode on the XT60 connector caught an arc flash during testing. The diode destroyed itself but saved the circuit. This made the idea of sacrificial protection real. A professional engineer has to expect failures. Working with a high-energy system at a bench builds a sense of responsibility you cannot get from a book.</w:t>
      </w:r>
    </w:p>
    <w:p>
      <w:pPr>
        <w:jc w:val="center"/>
      </w:pPr>
      <w:r>
        <w:rPr>
          <w:b/>
          <w:sz w:val="20"/>
        </w:rPr>
        <w:t>V. GLOBAL, ECONOMIC, AND ENVIRONMENTAL IMPACT</w:t>
      </w:r>
    </w:p>
    <w:p>
      <w:r>
        <w:t>The move to green energy needs cheap and reliable batteries. Right now, commercial BMS units can cost ,200. This is too expensive for many parts of the world. A system like our BMCS could be produced for much less. This would help people in sub-Saharan Africa or South Asia get solar power. Affordable battery management is key to providing universal access to modern energy.</w:t>
      </w:r>
    </w:p>
    <w:p>
      <w:r>
        <w:t>Good battery management also helps the environment. By keeping cells in safe ranges and balancing the charge, the BMS makes batteries last longer. This means less hazardous waste. But engineers also have to admit that mining lithium and cobalt has a cost. Technical writing in this field should show both the benefits of electricity and the cost of making the batteries.</w:t>
      </w:r>
    </w:p>
    <w:p>
      <w:r>
        <w:t>From a legal side, a commercial version would need to follow UL 9540 and IEC 62619 standards. These are not just paperwork. They are the combined knowledge of engineers about what goes wrong with lithium systems. Following these rules is part of the job. Public safety has to come first.</w:t>
      </w:r>
    </w:p>
    <w:p>
      <w:pPr>
        <w:jc w:val="center"/>
      </w:pPr>
      <w:r>
        <w:rPr>
          <w:b/>
          <w:sz w:val="20"/>
        </w:rPr>
        <w:t>VI. CONCLUSION</w:t>
      </w:r>
    </w:p>
    <w:p>
      <w:r>
        <w:t>The BMCS project shows that engineering a battery system is an ethical task. We used hardware-level protection and cell emulators to put safety first. As the world switches to decentralized power, engineers must provide hardware that is transparent and reliable. The questions we asked during this project are the same ones the global energy sector asks. They only get more important when you scale up.</w:t>
      </w:r>
    </w:p>
    <w:p>
      <w:pPr>
        <w:jc w:val="center"/>
      </w:pPr>
      <w:r>
        <w:rPr>
          <w:b/>
          <w:sz w:val="20"/>
        </w:rPr>
        <w:t>VII. REFERENCES</w:t>
      </w:r>
    </w:p>
    <w:p>
      <w:pPr>
        <w:ind w:left="360" w:hanging="360"/>
      </w:pPr>
      <w:r>
        <w:rPr>
          <w:sz w:val="18"/>
        </w:rPr>
        <w:t>[1] K. Vada et al., "Battery Management System," EE175AB Senior Design Final Report, Dept. Elect. and Comput. Eng., Univ. California, Riverside, CA, USA, 2026.</w:t>
      </w:r>
    </w:p>
    <w:p>
      <w:pPr>
        <w:ind w:left="360" w:hanging="360"/>
      </w:pPr>
      <w:r>
        <w:rPr>
          <w:sz w:val="18"/>
        </w:rPr>
        <w:t>[2] Texas Instruments, "BQ76930 6-Series to 10-Series Cell Li-Ion and Li-Phosphate Battery Monitor," BQ76930 Datasheet, Rev. H, 2022.</w:t>
      </w:r>
    </w:p>
    <w:p>
      <w:pPr>
        <w:ind w:left="360" w:hanging="360"/>
      </w:pPr>
      <w:r>
        <w:rPr>
          <w:sz w:val="18"/>
        </w:rPr>
        <w:t>[3] International Energy Agency (IEA), "SDG7: Data and Projections," IEA, Paris, 2022. [Online]. Available: https://www.iea.org/reports/sdg7-data-and-projections.</w:t>
      </w:r>
    </w:p>
    <w:p>
      <w:pPr>
        <w:ind w:left="360" w:hanging="360"/>
      </w:pPr>
      <w:r>
        <w:rPr>
          <w:sz w:val="18"/>
        </w:rPr>
        <w:t>[4] UL Standard for Safety for Energy Storage Systems and Equipment, UL 9540, 2023.</w:t>
      </w:r>
    </w:p>
    <w:p>
      <w:pPr>
        <w:ind w:left="360" w:hanging="360"/>
      </w:pPr>
      <w:r>
        <w:rPr>
          <w:sz w:val="18"/>
        </w:rPr>
        <w:t>[5] Safety requirements for secondary lithium cells and batteries for use in industrial applications, IEC 62619:2022, 2022.</w:t>
      </w:r>
    </w:p>
    <w:p>
      <w:pPr>
        <w:ind w:left="360" w:hanging="360"/>
      </w:pPr>
      <w:r>
        <w:rPr>
          <w:sz w:val="18"/>
        </w:rPr>
        <w:t>[6] Molicel, "Molicel P42A 21700 Data Sheet," Molicel,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