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72286" w14:textId="4FBD4901" w:rsidR="00F76209" w:rsidRDefault="008B5F10">
      <w:pPr>
        <w:spacing w:before="120" w:after="240" w:line="240" w:lineRule="auto"/>
        <w:jc w:val="center"/>
      </w:pPr>
      <w:r>
        <w:rPr>
          <w:rFonts w:ascii="Times New Roman" w:eastAsia="Times New Roman" w:hAnsi="Times New Roman" w:cs="Times New Roman"/>
          <w:b/>
          <w:sz w:val="40"/>
        </w:rPr>
        <w:t>Contemporary Engineering Issues and the Need for Lifelong Learning in Battery Management System Development</w:t>
      </w:r>
    </w:p>
    <w:p w14:paraId="7FC4527B" w14:textId="77777777" w:rsidR="00F76209" w:rsidRDefault="00000000">
      <w:pPr>
        <w:spacing w:after="40" w:line="240" w:lineRule="auto"/>
        <w:jc w:val="center"/>
      </w:pPr>
      <w:r>
        <w:rPr>
          <w:rFonts w:ascii="Times New Roman" w:eastAsia="Times New Roman" w:hAnsi="Times New Roman" w:cs="Times New Roman"/>
          <w:b/>
        </w:rPr>
        <w:t>Kaushik Vada</w:t>
      </w:r>
    </w:p>
    <w:p w14:paraId="299D36CA" w14:textId="77777777" w:rsidR="00F76209" w:rsidRDefault="00000000">
      <w:pPr>
        <w:spacing w:after="40" w:line="240" w:lineRule="auto"/>
        <w:jc w:val="center"/>
      </w:pPr>
      <w:r>
        <w:rPr>
          <w:rFonts w:ascii="Times New Roman" w:eastAsia="Times New Roman" w:hAnsi="Times New Roman" w:cs="Times New Roman"/>
          <w:sz w:val="20"/>
        </w:rPr>
        <w:t>Department of Electrical and Computer Engineering</w:t>
      </w:r>
    </w:p>
    <w:p w14:paraId="0F4BB1D6" w14:textId="77777777" w:rsidR="00F76209" w:rsidRDefault="00000000">
      <w:pPr>
        <w:spacing w:after="40" w:line="240" w:lineRule="auto"/>
        <w:jc w:val="center"/>
      </w:pPr>
      <w:r>
        <w:rPr>
          <w:rFonts w:ascii="Times New Roman" w:eastAsia="Times New Roman" w:hAnsi="Times New Roman" w:cs="Times New Roman"/>
          <w:sz w:val="20"/>
        </w:rPr>
        <w:t>University of California, Riverside</w:t>
      </w:r>
    </w:p>
    <w:p w14:paraId="65F21909" w14:textId="77777777" w:rsidR="00F76209" w:rsidRDefault="00000000">
      <w:pPr>
        <w:spacing w:after="40" w:line="240" w:lineRule="auto"/>
        <w:jc w:val="center"/>
      </w:pPr>
      <w:r>
        <w:rPr>
          <w:rFonts w:ascii="Times New Roman" w:eastAsia="Times New Roman" w:hAnsi="Times New Roman" w:cs="Times New Roman"/>
          <w:sz w:val="20"/>
        </w:rPr>
        <w:t>Riverside, California 92521, USA</w:t>
      </w:r>
    </w:p>
    <w:p w14:paraId="13B75440" w14:textId="389D7F36" w:rsidR="00F76209" w:rsidRDefault="00CB65BA">
      <w:pPr>
        <w:spacing w:after="160" w:line="240" w:lineRule="auto"/>
        <w:jc w:val="center"/>
      </w:pPr>
      <w:r>
        <w:rPr>
          <w:rFonts w:ascii="Times New Roman" w:eastAsia="Times New Roman" w:hAnsi="Times New Roman" w:cs="Times New Roman"/>
          <w:sz w:val="20"/>
        </w:rPr>
        <w:t>vvada002@gmail.com</w:t>
      </w:r>
    </w:p>
    <w:p w14:paraId="7B27D6E4" w14:textId="77777777" w:rsidR="00F76209" w:rsidRDefault="00F76209">
      <w:pPr>
        <w:sectPr w:rsidR="00F76209">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pPr>
    </w:p>
    <w:p w14:paraId="426BD925" w14:textId="0D2603C0" w:rsidR="00F76209" w:rsidRDefault="00000000">
      <w:pPr>
        <w:spacing w:after="120" w:line="240" w:lineRule="auto"/>
        <w:jc w:val="both"/>
      </w:pPr>
      <w:r>
        <w:rPr>
          <w:rFonts w:ascii="Times New Roman" w:eastAsia="Times New Roman" w:hAnsi="Times New Roman" w:cs="Times New Roman"/>
          <w:b/>
          <w:i/>
          <w:sz w:val="20"/>
        </w:rPr>
        <w:t>Abstract—</w:t>
      </w:r>
      <w:r w:rsidR="00CB65BA">
        <w:rPr>
          <w:rFonts w:ascii="Times New Roman" w:eastAsia="Times New Roman" w:hAnsi="Times New Roman" w:cs="Times New Roman"/>
          <w:b/>
          <w:i/>
          <w:sz w:val="20"/>
        </w:rPr>
        <w:t xml:space="preserve"> </w:t>
      </w:r>
      <w:r>
        <w:rPr>
          <w:rFonts w:ascii="Times New Roman" w:eastAsia="Times New Roman" w:hAnsi="Times New Roman" w:cs="Times New Roman"/>
          <w:sz w:val="20"/>
        </w:rPr>
        <w:t xml:space="preserve">This essay examines the contemporary engineering issues that shape modern battery management system (BMS) development and discusses the role of the Battery Management and Control System (BMCS) senior design project in surfacing the need for </w:t>
      </w:r>
      <w:proofErr w:type="gramStart"/>
      <w:r>
        <w:rPr>
          <w:rFonts w:ascii="Times New Roman" w:eastAsia="Times New Roman" w:hAnsi="Times New Roman" w:cs="Times New Roman"/>
          <w:sz w:val="20"/>
        </w:rPr>
        <w:t>sustained,</w:t>
      </w:r>
      <w:proofErr w:type="gramEnd"/>
      <w:r>
        <w:rPr>
          <w:rFonts w:ascii="Times New Roman" w:eastAsia="Times New Roman" w:hAnsi="Times New Roman" w:cs="Times New Roman"/>
          <w:sz w:val="20"/>
        </w:rPr>
        <w:t xml:space="preserve"> self-directed learning beyond the undergraduate curriculum. The 10-series Molicel P42A platform built around the Texas Instruments BQ76930 analog front end and an STMicroelectronics STM32F303 microcontroller sits at the intersection of several active technica</w:t>
      </w:r>
      <w:r>
        <w:rPr>
          <w:rFonts w:ascii="Times New Roman" w:eastAsia="Times New Roman" w:hAnsi="Times New Roman" w:cs="Times New Roman"/>
          <w:sz w:val="20"/>
        </w:rPr>
        <w:t xml:space="preserve">l fronts: aggressive on-chip integration of analog protection and digital sensing, internet-connected distributed telemetry, cybersecurity exposure across embedded energy hardware, and an evolving body of functional safety standards that includes UL 9540 and IEC 62619. Each of these areas changes more rapidly than coursework can absorb. The design, validation, and characterization work required for the BMCS demonstrate that competent engineering practice in this domain depends on continuous engagement with </w:t>
      </w:r>
      <w:r>
        <w:rPr>
          <w:rFonts w:ascii="Times New Roman" w:eastAsia="Times New Roman" w:hAnsi="Times New Roman" w:cs="Times New Roman"/>
          <w:sz w:val="20"/>
        </w:rPr>
        <w:t>primary sources—datasheets, standards documents, application notes, and current literature. The analysis concludes that lifelong learning is a structural requirement of contemporary battery system engineering rather than an abstract professional virtue.</w:t>
      </w:r>
    </w:p>
    <w:p w14:paraId="3E764512" w14:textId="77777777" w:rsidR="00F76209" w:rsidRDefault="00000000">
      <w:pPr>
        <w:spacing w:line="240" w:lineRule="auto"/>
        <w:jc w:val="both"/>
      </w:pPr>
      <w:r>
        <w:rPr>
          <w:rFonts w:ascii="Times New Roman" w:eastAsia="Times New Roman" w:hAnsi="Times New Roman" w:cs="Times New Roman"/>
          <w:b/>
          <w:i/>
          <w:sz w:val="20"/>
        </w:rPr>
        <w:t>Index Terms—</w:t>
      </w:r>
      <w:r>
        <w:rPr>
          <w:rFonts w:ascii="Times New Roman" w:eastAsia="Times New Roman" w:hAnsi="Times New Roman" w:cs="Times New Roman"/>
          <w:sz w:val="20"/>
        </w:rPr>
        <w:t>battery management systems, lithium-ion safety, embedded telemetry, cybersecurity, functional safety standards, lifelong learning, professional development.</w:t>
      </w:r>
    </w:p>
    <w:p w14:paraId="5A449B34" w14:textId="77777777" w:rsidR="00F76209" w:rsidRDefault="00000000">
      <w:pPr>
        <w:spacing w:before="160" w:after="80" w:line="240" w:lineRule="auto"/>
        <w:jc w:val="center"/>
      </w:pPr>
      <w:r>
        <w:rPr>
          <w:rFonts w:ascii="Times New Roman" w:eastAsia="Times New Roman" w:hAnsi="Times New Roman" w:cs="Times New Roman"/>
          <w:sz w:val="20"/>
        </w:rPr>
        <w:t>I. INTRODUCTION</w:t>
      </w:r>
    </w:p>
    <w:p w14:paraId="150307AA" w14:textId="41E32762" w:rsidR="00F76209" w:rsidRDefault="00000000">
      <w:pPr>
        <w:spacing w:after="80" w:line="240" w:lineRule="auto"/>
        <w:ind w:firstLine="288"/>
        <w:jc w:val="both"/>
      </w:pPr>
      <w:r>
        <w:rPr>
          <w:rFonts w:ascii="Times New Roman" w:eastAsia="Times New Roman" w:hAnsi="Times New Roman" w:cs="Times New Roman"/>
          <w:sz w:val="20"/>
        </w:rPr>
        <w:t xml:space="preserve">The Battery Management and Control System (BMCS) project, developed during the EE 175AB senior design sequence at the University of California, Riverside, supervises a 10-series stack of Molicel P42A lithium-ion cells nominally rated at 42 V and 151.2 Wh. The architecture combines a Texas Instruments BQ76930 analog front end (AFE), </w:t>
      </w:r>
      <w:proofErr w:type="gramStart"/>
      <w:r>
        <w:rPr>
          <w:rFonts w:ascii="Times New Roman" w:eastAsia="Times New Roman" w:hAnsi="Times New Roman" w:cs="Times New Roman"/>
          <w:sz w:val="20"/>
        </w:rPr>
        <w:t>an</w:t>
      </w:r>
      <w:proofErr w:type="gramEnd"/>
      <w:r>
        <w:rPr>
          <w:rFonts w:ascii="Times New Roman" w:eastAsia="Times New Roman" w:hAnsi="Times New Roman" w:cs="Times New Roman"/>
          <w:sz w:val="20"/>
        </w:rPr>
        <w:t xml:space="preserve"> STMicroelectronics </w:t>
      </w:r>
      <w:r w:rsidR="00C37642">
        <w:rPr>
          <w:rFonts w:ascii="Times New Roman" w:eastAsia="Times New Roman" w:hAnsi="Times New Roman" w:cs="Times New Roman"/>
          <w:sz w:val="20"/>
        </w:rPr>
        <w:t>STM32F303 microcontroller [7], and a PyQt6</w:t>
      </w:r>
      <w:r>
        <w:rPr>
          <w:rFonts w:ascii="Times New Roman" w:eastAsia="Times New Roman" w:hAnsi="Times New Roman" w:cs="Times New Roman"/>
          <w:sz w:val="20"/>
        </w:rPr>
        <w:t xml:space="preserve"> telemetry dashboard communicating over USB CDC at 115200 baud [1]. Where the project's first essay focused on professional and ethical responsibility, the present analysis turns to the engineering landscape that surrounds the project and the demands that landscape places on a practicing engineer's continued education. Several contemporary technical issues converge in a single 36 V battery pack: increasing levels of </w:t>
      </w:r>
      <w:r>
        <w:rPr>
          <w:rFonts w:ascii="Times New Roman" w:eastAsia="Times New Roman" w:hAnsi="Times New Roman" w:cs="Times New Roman"/>
          <w:sz w:val="20"/>
        </w:rPr>
        <w:t>analog and digital integration, the migration of energy infrastructure onto network-connecte</w:t>
      </w:r>
      <w:r>
        <w:rPr>
          <w:rFonts w:ascii="Times New Roman" w:eastAsia="Times New Roman" w:hAnsi="Times New Roman" w:cs="Times New Roman"/>
          <w:sz w:val="20"/>
        </w:rPr>
        <w:t>d platforms, an expanding cybersecurity threat surface, and a body of functional safety standards that is still being written. None of these topics is fully addressed by the standard undergraduate electrical engineering curriculum, and none of them stands still.</w:t>
      </w:r>
    </w:p>
    <w:p w14:paraId="3049BC35" w14:textId="77777777" w:rsidR="00F76209" w:rsidRDefault="00000000">
      <w:pPr>
        <w:spacing w:before="160" w:after="80" w:line="240" w:lineRule="auto"/>
        <w:jc w:val="center"/>
      </w:pPr>
      <w:r>
        <w:rPr>
          <w:rFonts w:ascii="Times New Roman" w:eastAsia="Times New Roman" w:hAnsi="Times New Roman" w:cs="Times New Roman"/>
          <w:sz w:val="20"/>
        </w:rPr>
        <w:t>II. HIGH-LEVEL INTEGRATION AND LOW-POWER DESIGN</w:t>
      </w:r>
    </w:p>
    <w:p w14:paraId="17C6009E" w14:textId="77777777" w:rsidR="00F76209" w:rsidRDefault="00000000">
      <w:pPr>
        <w:spacing w:after="80" w:line="240" w:lineRule="auto"/>
        <w:ind w:firstLine="288"/>
        <w:jc w:val="both"/>
      </w:pPr>
      <w:r>
        <w:rPr>
          <w:rFonts w:ascii="Times New Roman" w:eastAsia="Times New Roman" w:hAnsi="Times New Roman" w:cs="Times New Roman"/>
          <w:sz w:val="20"/>
        </w:rPr>
        <w:t>A defining trend in contemporary BMS hardware is the aggressive consolidation of analog protection, cell sensing, and digital communication onto a single die. The BQ76930 used in the BMCS is representative of this pattern. The part integrates a 10-channel differential cell-voltage measurement front end, a successive-approximation ADC, internal balancing FET drivers, hardware-enforced overvoltage and undervoltage comparators, and a configurable thermistor interface in a single 38-pin package [3]. A decade ag</w:t>
      </w:r>
      <w:r>
        <w:rPr>
          <w:rFonts w:ascii="Times New Roman" w:eastAsia="Times New Roman" w:hAnsi="Times New Roman" w:cs="Times New Roman"/>
          <w:sz w:val="20"/>
        </w:rPr>
        <w:t>o, the same functionality would have required discrete operational amplifiers, separate ADCs, dedicated comparator integrated circuits, and an isolation barrier between high-voltage cell taps and the microcontroller domain. The integration trend is driven by hard requirements on system cost, board area, and standby power consumption in applications such as e-mobility and distributed solar storage, where dormant draw on the pack directly determines self-discharge over weeks of inactivity.</w:t>
      </w:r>
    </w:p>
    <w:p w14:paraId="22126C31" w14:textId="77777777" w:rsidR="00F76209" w:rsidRDefault="00000000">
      <w:pPr>
        <w:spacing w:after="80" w:line="240" w:lineRule="auto"/>
        <w:ind w:firstLine="288"/>
        <w:jc w:val="both"/>
      </w:pPr>
      <w:r>
        <w:rPr>
          <w:rFonts w:ascii="Times New Roman" w:eastAsia="Times New Roman" w:hAnsi="Times New Roman" w:cs="Times New Roman"/>
          <w:sz w:val="20"/>
        </w:rPr>
        <w:t xml:space="preserve">This integration also shifts the engineering problem from circuit design toward part selection, register-level configuration, and rigorous datasheet interpretation. The BQ76930 datasheet alone runs to roughly ninety pages, and the companion application notes from Texas Instruments describe failure cases that do not appear in any classroom textbook. Selecting an appropriate part, configuring its protection thresholds in non-volatile memory, and validating its behavior under fault conditions therefore depend </w:t>
      </w:r>
      <w:r>
        <w:rPr>
          <w:rFonts w:ascii="Times New Roman" w:eastAsia="Times New Roman" w:hAnsi="Times New Roman" w:cs="Times New Roman"/>
          <w:sz w:val="20"/>
        </w:rPr>
        <w:t>on fluency with documents that did not exist when much of the curriculum was originally written.</w:t>
      </w:r>
    </w:p>
    <w:p w14:paraId="37CD4F85" w14:textId="77777777" w:rsidR="00F76209" w:rsidRDefault="00000000">
      <w:pPr>
        <w:spacing w:before="160" w:after="80" w:line="240" w:lineRule="auto"/>
        <w:jc w:val="center"/>
      </w:pPr>
      <w:r>
        <w:rPr>
          <w:rFonts w:ascii="Times New Roman" w:eastAsia="Times New Roman" w:hAnsi="Times New Roman" w:cs="Times New Roman"/>
          <w:sz w:val="20"/>
        </w:rPr>
        <w:t>III. CONNECTED TELEMETRY AND DISTRIBUTED SENSING</w:t>
      </w:r>
    </w:p>
    <w:p w14:paraId="5A70723D" w14:textId="77777777" w:rsidR="00F76209" w:rsidRDefault="00000000">
      <w:pPr>
        <w:spacing w:after="80" w:line="240" w:lineRule="auto"/>
        <w:ind w:firstLine="288"/>
        <w:jc w:val="both"/>
      </w:pPr>
      <w:r>
        <w:rPr>
          <w:rFonts w:ascii="Times New Roman" w:eastAsia="Times New Roman" w:hAnsi="Times New Roman" w:cs="Times New Roman"/>
          <w:sz w:val="20"/>
        </w:rPr>
        <w:t>A second contemporary trend is the steady migration of battery systems from isolated hardware islands to network-</w:t>
      </w:r>
      <w:r>
        <w:rPr>
          <w:rFonts w:ascii="Times New Roman" w:eastAsia="Times New Roman" w:hAnsi="Times New Roman" w:cs="Times New Roman"/>
          <w:sz w:val="20"/>
        </w:rPr>
        <w:lastRenderedPageBreak/>
        <w:t>connected sensing nodes. The BMCS dashboard streams cell-level telemetry—per-cell voltage, pack current, temperature, state of charge, and fault flags—at sub-second intervals. Current commercial systems extend this pattern further, exposing the same data to cloud aggregation layers that feed fleet analytics, predictive maintenance algorithms, and warranty enforcement systems. The BMS has become a data source as much as a protection device.</w:t>
      </w:r>
    </w:p>
    <w:p w14:paraId="26DB6E98" w14:textId="77777777" w:rsidR="00F76209" w:rsidRDefault="00000000">
      <w:pPr>
        <w:spacing w:after="80" w:line="240" w:lineRule="auto"/>
        <w:ind w:firstLine="288"/>
        <w:jc w:val="both"/>
      </w:pPr>
      <w:r>
        <w:rPr>
          <w:rFonts w:ascii="Times New Roman" w:eastAsia="Times New Roman" w:hAnsi="Times New Roman" w:cs="Times New Roman"/>
          <w:sz w:val="20"/>
        </w:rPr>
        <w:t>This trend ties directly to broader industry movement toward distributed real-time monitoring of electrical infrastructure. Grid operators, microgrid integrators, and electric utility regulators increasingly assume that battery installations will report state-of-health and incident telemetry continuously. The engineering implication is that protocol design, data schema management, and time-series database integration are now legitimate concerns for a battery engineer, alongside the more traditional skills o</w:t>
      </w:r>
      <w:r>
        <w:rPr>
          <w:rFonts w:ascii="Times New Roman" w:eastAsia="Times New Roman" w:hAnsi="Times New Roman" w:cs="Times New Roman"/>
          <w:sz w:val="20"/>
        </w:rPr>
        <w:t>f analog front-end design and firmware debugging.</w:t>
      </w:r>
    </w:p>
    <w:p w14:paraId="4B2E8E4A" w14:textId="77777777" w:rsidR="00F76209" w:rsidRDefault="00000000">
      <w:pPr>
        <w:spacing w:before="160" w:after="80" w:line="240" w:lineRule="auto"/>
        <w:jc w:val="center"/>
      </w:pPr>
      <w:r>
        <w:rPr>
          <w:rFonts w:ascii="Times New Roman" w:eastAsia="Times New Roman" w:hAnsi="Times New Roman" w:cs="Times New Roman"/>
          <w:sz w:val="20"/>
        </w:rPr>
        <w:t>IV. CYBERSECURITY IN EMBEDDED ENERGY SYSTEMS</w:t>
      </w:r>
    </w:p>
    <w:p w14:paraId="54159B40" w14:textId="77777777" w:rsidR="00F76209" w:rsidRDefault="00000000">
      <w:pPr>
        <w:spacing w:after="80" w:line="240" w:lineRule="auto"/>
        <w:ind w:firstLine="288"/>
        <w:jc w:val="both"/>
      </w:pPr>
      <w:r>
        <w:rPr>
          <w:rFonts w:ascii="Times New Roman" w:eastAsia="Times New Roman" w:hAnsi="Times New Roman" w:cs="Times New Roman"/>
          <w:sz w:val="20"/>
        </w:rPr>
        <w:t>A connected BMS is also a potential attack surface, and the contemporary threat environment for embedded energy hardware has expanded rapidly. Reported attacks on industrial control systems, residential solar inverters, and electric-vehicle charging infrastructure demonstrate that energy-domain firmware is not exempt from the supply-chain and remote-exploit risks that affect general-purpose computing [2]. The BMCS, in its current bench-level form, does not implement signed firmware updates, authenticated te</w:t>
      </w:r>
      <w:r>
        <w:rPr>
          <w:rFonts w:ascii="Times New Roman" w:eastAsia="Times New Roman" w:hAnsi="Times New Roman" w:cs="Times New Roman"/>
          <w:sz w:val="20"/>
        </w:rPr>
        <w:t>lemetry transport, or hardware roots of trust; a commercial successor would need all three.</w:t>
      </w:r>
    </w:p>
    <w:p w14:paraId="5BF1D571" w14:textId="77777777" w:rsidR="00F76209" w:rsidRDefault="00000000">
      <w:pPr>
        <w:spacing w:after="80" w:line="240" w:lineRule="auto"/>
        <w:ind w:firstLine="288"/>
        <w:jc w:val="both"/>
      </w:pPr>
      <w:r>
        <w:rPr>
          <w:rFonts w:ascii="Times New Roman" w:eastAsia="Times New Roman" w:hAnsi="Times New Roman" w:cs="Times New Roman"/>
          <w:sz w:val="20"/>
        </w:rPr>
        <w:t>Cybersecurity for embedded energy systems draws on cryptography, secure boot chains, microcontroller security peripherals, and emerging regulatory frameworks such as the European Cyber Resilience Act. Each of these domains evolves on a timescale shorter than a typical degree program, and no static body of coursework can capture the current state of practice. An engineer entering the field today is expected to maintain a working familiarity with these threats and the mitigations that have been published in r</w:t>
      </w:r>
      <w:r>
        <w:rPr>
          <w:rFonts w:ascii="Times New Roman" w:eastAsia="Times New Roman" w:hAnsi="Times New Roman" w:cs="Times New Roman"/>
          <w:sz w:val="20"/>
        </w:rPr>
        <w:t>esponse to them.</w:t>
      </w:r>
    </w:p>
    <w:p w14:paraId="67963F2B" w14:textId="77777777" w:rsidR="00F76209" w:rsidRDefault="00000000">
      <w:pPr>
        <w:spacing w:before="160" w:after="80" w:line="240" w:lineRule="auto"/>
        <w:jc w:val="center"/>
      </w:pPr>
      <w:r>
        <w:rPr>
          <w:rFonts w:ascii="Times New Roman" w:eastAsia="Times New Roman" w:hAnsi="Times New Roman" w:cs="Times New Roman"/>
          <w:sz w:val="20"/>
        </w:rPr>
        <w:t>V. EVOLVING STANDARDS AND BATTERY CHEMISTRY TRENDS</w:t>
      </w:r>
    </w:p>
    <w:p w14:paraId="0A023CC6" w14:textId="77777777" w:rsidR="00F76209" w:rsidRDefault="00000000">
      <w:pPr>
        <w:spacing w:after="80" w:line="240" w:lineRule="auto"/>
        <w:ind w:firstLine="288"/>
        <w:jc w:val="both"/>
      </w:pPr>
      <w:r>
        <w:rPr>
          <w:rFonts w:ascii="Times New Roman" w:eastAsia="Times New Roman" w:hAnsi="Times New Roman" w:cs="Times New Roman"/>
          <w:sz w:val="20"/>
        </w:rPr>
        <w:t>Functional safety and energy storage standards have undergone substantial revision during the lifetime of this project. UL 9540 and UL 9540A govern energy storage system safety and fire propagation testing [4]. IEC 62619 covers industrial lithium-ion safety [5]. ISO 26262 defines automotive functional safety practice. Each document is revised on a multi-year cycle, and the differences between revisions can shift design requirements at the component level. A pack architecture that satisfied the previous edit</w:t>
      </w:r>
      <w:r>
        <w:rPr>
          <w:rFonts w:ascii="Times New Roman" w:eastAsia="Times New Roman" w:hAnsi="Times New Roman" w:cs="Times New Roman"/>
          <w:sz w:val="20"/>
        </w:rPr>
        <w:t>ion of a standard may not satisfy the next one.</w:t>
      </w:r>
    </w:p>
    <w:p w14:paraId="12E23DD7" w14:textId="77777777" w:rsidR="00F76209" w:rsidRDefault="00000000">
      <w:pPr>
        <w:spacing w:after="80" w:line="240" w:lineRule="auto"/>
        <w:ind w:firstLine="288"/>
        <w:jc w:val="both"/>
      </w:pPr>
      <w:r>
        <w:rPr>
          <w:rFonts w:ascii="Times New Roman" w:eastAsia="Times New Roman" w:hAnsi="Times New Roman" w:cs="Times New Roman"/>
          <w:sz w:val="20"/>
        </w:rPr>
        <w:t xml:space="preserve">Battery chemistry itself is also moving. Lithium iron phosphate (LFP) cells have displaced nickel-manganese-cobalt (NMC) chemistries across much of the stationary </w:t>
      </w:r>
      <w:r>
        <w:rPr>
          <w:rFonts w:ascii="Times New Roman" w:eastAsia="Times New Roman" w:hAnsi="Times New Roman" w:cs="Times New Roman"/>
          <w:sz w:val="20"/>
        </w:rPr>
        <w:t>storage market, and sodium-ion and semi-solid-state cells are being deployed at pilot scale [6]. The architectural assumptions baked into a BMS—voltage ranges, balancing strategies, temperature behavior, and charge profiles—depend directly on the underlying chemistry. An engineer who designs exclusively against the chemistry assumptions of five years ago will not produce a competitive system today.</w:t>
      </w:r>
    </w:p>
    <w:p w14:paraId="0C6B26A4" w14:textId="77777777" w:rsidR="00F76209" w:rsidRDefault="00000000">
      <w:pPr>
        <w:spacing w:before="160" w:after="80" w:line="240" w:lineRule="auto"/>
        <w:jc w:val="center"/>
      </w:pPr>
      <w:r>
        <w:rPr>
          <w:rFonts w:ascii="Times New Roman" w:eastAsia="Times New Roman" w:hAnsi="Times New Roman" w:cs="Times New Roman"/>
          <w:sz w:val="20"/>
        </w:rPr>
        <w:t>VI. RECOGNIZING THE NEED FOR LIFELONG LEARNING</w:t>
      </w:r>
    </w:p>
    <w:p w14:paraId="05B62AA3" w14:textId="77777777" w:rsidR="00F76209" w:rsidRDefault="00000000">
      <w:pPr>
        <w:spacing w:after="80" w:line="240" w:lineRule="auto"/>
        <w:ind w:firstLine="288"/>
        <w:jc w:val="both"/>
      </w:pPr>
      <w:r>
        <w:rPr>
          <w:rFonts w:ascii="Times New Roman" w:eastAsia="Times New Roman" w:hAnsi="Times New Roman" w:cs="Times New Roman"/>
          <w:sz w:val="20"/>
        </w:rPr>
        <w:t>The BMCS project surfaced the need for lifelong learning through concrete encounters with the limits of the undergraduate curriculum. Coursework provided the foundation of circuit analysis, embedded programming, and signal integrity, but the project required fluency in topics that the curriculum did not directly cover: power-FET selection under repetitive short-circuit transients, watchdog and fault-handling architecture in safety-critical firmware, UL and IEC compliance testing procedures, and the practica</w:t>
      </w:r>
      <w:r>
        <w:rPr>
          <w:rFonts w:ascii="Times New Roman" w:eastAsia="Times New Roman" w:hAnsi="Times New Roman" w:cs="Times New Roman"/>
          <w:sz w:val="20"/>
        </w:rPr>
        <w:t>l mechanics of high-current PCB layout. Each gap was filled through a combination of vendor application notes, IEEE Xplore literature, open-source reference designs, and direct experimentation on the bench.</w:t>
      </w:r>
    </w:p>
    <w:p w14:paraId="388E6683" w14:textId="77777777" w:rsidR="00F76209" w:rsidRDefault="00000000">
      <w:pPr>
        <w:spacing w:after="80" w:line="240" w:lineRule="auto"/>
        <w:ind w:firstLine="288"/>
        <w:jc w:val="both"/>
      </w:pPr>
      <w:r>
        <w:rPr>
          <w:rFonts w:ascii="Times New Roman" w:eastAsia="Times New Roman" w:hAnsi="Times New Roman" w:cs="Times New Roman"/>
          <w:sz w:val="20"/>
        </w:rPr>
        <w:t>The recurring pattern was that the answer to any non-trivial engineering question lived outside the textbook. Recognition of this pattern is itself the first step toward lifelong learning: the realization that the knowledge needed for tomorrow's design is not the knowledge captured in last quarter's lecture notes. For an engineer working with energy storage, the rate at which the field evolves makes this realization unavoidable rather than aspirational.</w:t>
      </w:r>
    </w:p>
    <w:p w14:paraId="49FF8B60" w14:textId="77777777" w:rsidR="00F76209" w:rsidRDefault="00000000">
      <w:pPr>
        <w:spacing w:before="160" w:after="80" w:line="240" w:lineRule="auto"/>
        <w:jc w:val="center"/>
      </w:pPr>
      <w:r>
        <w:rPr>
          <w:rFonts w:ascii="Times New Roman" w:eastAsia="Times New Roman" w:hAnsi="Times New Roman" w:cs="Times New Roman"/>
          <w:sz w:val="20"/>
        </w:rPr>
        <w:t>VII. DEVELOPING THE ABILITY TO ENGAGE IN LIFELONG LEARNING</w:t>
      </w:r>
    </w:p>
    <w:p w14:paraId="6B92CF45" w14:textId="77777777" w:rsidR="00F76209" w:rsidRDefault="00000000">
      <w:pPr>
        <w:spacing w:after="80" w:line="240" w:lineRule="auto"/>
        <w:ind w:firstLine="288"/>
        <w:jc w:val="both"/>
      </w:pPr>
      <w:r>
        <w:rPr>
          <w:rFonts w:ascii="Times New Roman" w:eastAsia="Times New Roman" w:hAnsi="Times New Roman" w:cs="Times New Roman"/>
          <w:sz w:val="20"/>
        </w:rPr>
        <w:t>Beyond recognition, the BMCS project also developed the specific habits and tooling that make sustained self-directed learning possible. Reading a ninety-page datasheet with comprehension, cross-referencing application notes to resolve ambiguity, navigating IEEE Xplore and ScienceDirect for primary literature, interpreting standards documents written in regulatory language, and validating vendor claims experimentally against measured behavior on a benchtop are all transferable skills.</w:t>
      </w:r>
    </w:p>
    <w:p w14:paraId="7A266B65" w14:textId="77777777" w:rsidR="00F76209" w:rsidRDefault="00000000">
      <w:pPr>
        <w:spacing w:after="80" w:line="240" w:lineRule="auto"/>
        <w:ind w:firstLine="288"/>
        <w:jc w:val="both"/>
      </w:pPr>
      <w:r>
        <w:rPr>
          <w:rFonts w:ascii="Times New Roman" w:eastAsia="Times New Roman" w:hAnsi="Times New Roman" w:cs="Times New Roman"/>
          <w:sz w:val="20"/>
        </w:rPr>
        <w:t>The use of a custom resistive cell emulator during firmware bring-up reinforced the principle that learning in this domain is mediated by instruments and experimental design rather than by passive reading alone. Equally important is the discipline of documentation: maintaining a record of design decisions, observed failure modes, and parameter justifications creates a personal reference base that compounds over time. These practices form the operational scaffolding for engaging with new technologies as they</w:t>
      </w:r>
      <w:r>
        <w:rPr>
          <w:rFonts w:ascii="Times New Roman" w:eastAsia="Times New Roman" w:hAnsi="Times New Roman" w:cs="Times New Roman"/>
          <w:sz w:val="20"/>
        </w:rPr>
        <w:t xml:space="preserve"> appear, whether the next decade brings solid-state batteries, gallium-nitride power stages, or technologies that have not yet entered the public literature.</w:t>
      </w:r>
    </w:p>
    <w:p w14:paraId="2DF98316" w14:textId="77777777" w:rsidR="00257C7D" w:rsidRDefault="00257C7D">
      <w:pPr>
        <w:spacing w:before="160" w:after="80" w:line="240" w:lineRule="auto"/>
        <w:jc w:val="center"/>
        <w:rPr>
          <w:rFonts w:ascii="Times New Roman" w:eastAsia="Times New Roman" w:hAnsi="Times New Roman" w:cs="Times New Roman"/>
          <w:sz w:val="20"/>
        </w:rPr>
      </w:pPr>
    </w:p>
    <w:p w14:paraId="2EF30019" w14:textId="77B320AD" w:rsidR="00F76209" w:rsidRDefault="00000000">
      <w:pPr>
        <w:spacing w:before="160" w:after="80" w:line="240" w:lineRule="auto"/>
        <w:jc w:val="center"/>
      </w:pPr>
      <w:r>
        <w:rPr>
          <w:rFonts w:ascii="Times New Roman" w:eastAsia="Times New Roman" w:hAnsi="Times New Roman" w:cs="Times New Roman"/>
          <w:sz w:val="20"/>
        </w:rPr>
        <w:lastRenderedPageBreak/>
        <w:t>VIII. CONCLUSION</w:t>
      </w:r>
    </w:p>
    <w:p w14:paraId="3B57830B" w14:textId="77777777" w:rsidR="00F76209" w:rsidRDefault="00000000">
      <w:pPr>
        <w:spacing w:after="80" w:line="240" w:lineRule="auto"/>
        <w:ind w:firstLine="288"/>
        <w:jc w:val="both"/>
      </w:pPr>
      <w:r>
        <w:rPr>
          <w:rFonts w:ascii="Times New Roman" w:eastAsia="Times New Roman" w:hAnsi="Times New Roman" w:cs="Times New Roman"/>
          <w:sz w:val="20"/>
        </w:rPr>
        <w:t>Contemporary battery management engineering exists at the intersection of several fast-moving technical fronts: integrated mixed-signal silicon, networked sensing, cybersecurity for energy infrastructure, and a continuously revised body of safety standards. The BMCS project surfaced each of these trends in tangible form during the design, build, and validation cycle. More importantly, the project demonstrated that a practicing engineer's working knowledge must continuously refresh itself against primary sou</w:t>
      </w:r>
      <w:r>
        <w:rPr>
          <w:rFonts w:ascii="Times New Roman" w:eastAsia="Times New Roman" w:hAnsi="Times New Roman" w:cs="Times New Roman"/>
          <w:sz w:val="20"/>
        </w:rPr>
        <w:t>rces. Lifelong learning, in this context, is neither aspirational language nor a generic professional virtue; it is the structural condition of competent practice in a field whose component datasheets, regulatory standards, and underlying chemistries are rewritten on cycles measured in months rather than decades.</w:t>
      </w:r>
    </w:p>
    <w:p w14:paraId="274B0D2C" w14:textId="77777777" w:rsidR="00F76209" w:rsidRDefault="00000000">
      <w:pPr>
        <w:spacing w:before="160" w:after="80" w:line="240" w:lineRule="auto"/>
        <w:jc w:val="center"/>
      </w:pPr>
      <w:r>
        <w:rPr>
          <w:rFonts w:ascii="Times New Roman" w:eastAsia="Times New Roman" w:hAnsi="Times New Roman" w:cs="Times New Roman"/>
          <w:sz w:val="20"/>
        </w:rPr>
        <w:t>REFERENCES</w:t>
      </w:r>
    </w:p>
    <w:p w14:paraId="0545121A" w14:textId="77777777" w:rsidR="00F76209" w:rsidRDefault="00000000">
      <w:pPr>
        <w:spacing w:after="40" w:line="240" w:lineRule="auto"/>
        <w:jc w:val="both"/>
      </w:pPr>
      <w:r>
        <w:rPr>
          <w:rFonts w:ascii="Times New Roman" w:eastAsia="Times New Roman" w:hAnsi="Times New Roman" w:cs="Times New Roman"/>
          <w:sz w:val="18"/>
        </w:rPr>
        <w:t>[1] K. Vada, C. Stewart, N. Poon, and C. Kim, “EE 175AB Final Report: Modular Battery Management and Communication Platform,” Dept. of Electrical and Computer Engineering, Univ. of California, Riverside, Riverside, CA, USA, 2026.</w:t>
      </w:r>
    </w:p>
    <w:p w14:paraId="45D41D00" w14:textId="77777777" w:rsidR="00F76209" w:rsidRDefault="00000000">
      <w:pPr>
        <w:spacing w:after="40" w:line="240" w:lineRule="auto"/>
        <w:jc w:val="both"/>
      </w:pPr>
      <w:r>
        <w:rPr>
          <w:rFonts w:ascii="Times New Roman" w:eastAsia="Times New Roman" w:hAnsi="Times New Roman" w:cs="Times New Roman"/>
          <w:sz w:val="18"/>
        </w:rPr>
        <w:t>[2] M. Tuttle, D. Wallace, and S. Mehrotra, “Cybersecurity of distributed energy resources: a survey of threats and countermeasures,” IEEE Access, vol. 11, pp. 35421–35438, 2023.</w:t>
      </w:r>
    </w:p>
    <w:p w14:paraId="7569739F" w14:textId="77777777" w:rsidR="00F76209" w:rsidRDefault="00000000">
      <w:pPr>
        <w:spacing w:after="40" w:line="240" w:lineRule="auto"/>
        <w:jc w:val="both"/>
      </w:pPr>
      <w:r>
        <w:rPr>
          <w:rFonts w:ascii="Times New Roman" w:eastAsia="Times New Roman" w:hAnsi="Times New Roman" w:cs="Times New Roman"/>
          <w:sz w:val="18"/>
        </w:rPr>
        <w:t>[3] Texas Instruments, “BQ76930 3-Series to 15-Series Cell Battery Monitor IC for Li-Ion and Phosphate Applications,” datasheet, rev. SLUSBK3D, 2020.</w:t>
      </w:r>
    </w:p>
    <w:p w14:paraId="698586CE" w14:textId="77777777" w:rsidR="00F76209" w:rsidRDefault="00000000">
      <w:pPr>
        <w:spacing w:after="40" w:line="240" w:lineRule="auto"/>
        <w:jc w:val="both"/>
      </w:pPr>
      <w:r>
        <w:rPr>
          <w:rFonts w:ascii="Times New Roman" w:eastAsia="Times New Roman" w:hAnsi="Times New Roman" w:cs="Times New Roman"/>
          <w:sz w:val="18"/>
        </w:rPr>
        <w:t>[4] Underwriters Laboratories, UL 9540: Standard for Energy Storage Systems and Equipment, 2nd ed. Northbrook, IL, USA: UL LLC, 2020.</w:t>
      </w:r>
    </w:p>
    <w:p w14:paraId="42918A31" w14:textId="77777777" w:rsidR="00F76209" w:rsidRDefault="00000000">
      <w:pPr>
        <w:spacing w:after="40" w:line="240" w:lineRule="auto"/>
        <w:jc w:val="both"/>
      </w:pPr>
      <w:r>
        <w:rPr>
          <w:rFonts w:ascii="Times New Roman" w:eastAsia="Times New Roman" w:hAnsi="Times New Roman" w:cs="Times New Roman"/>
          <w:sz w:val="18"/>
        </w:rPr>
        <w:t>[5] International Electrotechnical Commission, IEC 62619: Secondary Cells and Batteries Containing Alkaline or Other Non-Acid Electrolytes—Safety Requirements for Secondary Lithium Cells and Batteries for Use in Industrial Applications, 1st ed. Geneva, Switzerland: IEC, 2017.</w:t>
      </w:r>
    </w:p>
    <w:p w14:paraId="646F4F38" w14:textId="77777777" w:rsidR="00F76209" w:rsidRDefault="00000000">
      <w:pPr>
        <w:spacing w:after="40" w:line="240" w:lineRule="auto"/>
        <w:jc w:val="both"/>
      </w:pPr>
      <w:r>
        <w:rPr>
          <w:rFonts w:ascii="Times New Roman" w:eastAsia="Times New Roman" w:hAnsi="Times New Roman" w:cs="Times New Roman"/>
          <w:sz w:val="18"/>
        </w:rPr>
        <w:t>[6] M. Armand, P. Axmann, D. Bresser, M. Copley, K. Edström, et al., “Lithium-ion batteries—Current state of the art and anticipated developments,” Journal of Power Sources, vol. 479, p. 228708, 2020.</w:t>
      </w:r>
    </w:p>
    <w:p w14:paraId="1D3EF3E2" w14:textId="77777777" w:rsidR="00F76209" w:rsidRDefault="00000000">
      <w:pPr>
        <w:spacing w:after="40" w:line="240" w:lineRule="auto"/>
        <w:jc w:val="both"/>
      </w:pPr>
      <w:r>
        <w:rPr>
          <w:rFonts w:ascii="Times New Roman" w:eastAsia="Times New Roman" w:hAnsi="Times New Roman" w:cs="Times New Roman"/>
          <w:sz w:val="18"/>
        </w:rPr>
        <w:t>[7] STMicroelectronics, “STM32F303xB/C/D/E Reference Manual,” RM0316, rev. 8, 2018.</w:t>
      </w:r>
    </w:p>
    <w:sectPr w:rsidR="00F76209" w:rsidSect="00034616">
      <w:type w:val="continuous"/>
      <w:pgSz w:w="12240" w:h="15840"/>
      <w:pgMar w:top="1080" w:right="1080" w:bottom="108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D059D" w14:textId="77777777" w:rsidR="003C3C96" w:rsidRDefault="003C3C96" w:rsidP="001127E5">
      <w:pPr>
        <w:spacing w:after="0" w:line="240" w:lineRule="auto"/>
      </w:pPr>
      <w:r>
        <w:separator/>
      </w:r>
    </w:p>
  </w:endnote>
  <w:endnote w:type="continuationSeparator" w:id="0">
    <w:p w14:paraId="58420BAA" w14:textId="77777777" w:rsidR="003C3C96" w:rsidRDefault="003C3C96" w:rsidP="00112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47B74" w14:textId="77777777" w:rsidR="001127E5" w:rsidRDefault="001127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9952" w14:textId="77777777" w:rsidR="001127E5" w:rsidRDefault="001127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6458" w14:textId="77777777" w:rsidR="001127E5" w:rsidRDefault="001127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B94AE" w14:textId="77777777" w:rsidR="003C3C96" w:rsidRDefault="003C3C96" w:rsidP="001127E5">
      <w:pPr>
        <w:spacing w:after="0" w:line="240" w:lineRule="auto"/>
      </w:pPr>
      <w:r>
        <w:separator/>
      </w:r>
    </w:p>
  </w:footnote>
  <w:footnote w:type="continuationSeparator" w:id="0">
    <w:p w14:paraId="7FE84511" w14:textId="77777777" w:rsidR="003C3C96" w:rsidRDefault="003C3C96" w:rsidP="00112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E82A3" w14:textId="77777777" w:rsidR="001127E5" w:rsidRDefault="001127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6C9A" w14:textId="77777777" w:rsidR="001127E5" w:rsidRDefault="001127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EF69" w14:textId="77777777" w:rsidR="001127E5" w:rsidRDefault="001127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2133992">
    <w:abstractNumId w:val="8"/>
  </w:num>
  <w:num w:numId="2" w16cid:durableId="1717847763">
    <w:abstractNumId w:val="6"/>
  </w:num>
  <w:num w:numId="3" w16cid:durableId="601642337">
    <w:abstractNumId w:val="5"/>
  </w:num>
  <w:num w:numId="4" w16cid:durableId="398600085">
    <w:abstractNumId w:val="4"/>
  </w:num>
  <w:num w:numId="5" w16cid:durableId="2094618886">
    <w:abstractNumId w:val="7"/>
  </w:num>
  <w:num w:numId="6" w16cid:durableId="632949758">
    <w:abstractNumId w:val="3"/>
  </w:num>
  <w:num w:numId="7" w16cid:durableId="1860659043">
    <w:abstractNumId w:val="2"/>
  </w:num>
  <w:num w:numId="8" w16cid:durableId="1696273695">
    <w:abstractNumId w:val="1"/>
  </w:num>
  <w:num w:numId="9" w16cid:durableId="1262226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7E5"/>
    <w:rsid w:val="0015074B"/>
    <w:rsid w:val="00257C7D"/>
    <w:rsid w:val="0029639D"/>
    <w:rsid w:val="003128A6"/>
    <w:rsid w:val="00326F90"/>
    <w:rsid w:val="003574DD"/>
    <w:rsid w:val="003C3C96"/>
    <w:rsid w:val="004B1EE4"/>
    <w:rsid w:val="006C048D"/>
    <w:rsid w:val="008B5F10"/>
    <w:rsid w:val="008D4DF2"/>
    <w:rsid w:val="009D5A1E"/>
    <w:rsid w:val="00AA1D8D"/>
    <w:rsid w:val="00B47730"/>
    <w:rsid w:val="00C37642"/>
    <w:rsid w:val="00C46207"/>
    <w:rsid w:val="00CB0664"/>
    <w:rsid w:val="00CB65BA"/>
    <w:rsid w:val="00F762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F685A"/>
  <w14:defaultImageDpi w14:val="300"/>
  <w15:docId w15:val="{5287966B-A85A-B143-9AD0-8342E323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AC24DC-6C1E-C14B-9200-F8E50509DCE1}">
  <we:reference id="wa200010453" version="1.0.0.1" store="en-US" storeType="OMEX"/>
  <we:alternateReferences>
    <we:reference id="wa200010453" version="1.0.0.1" store="en-US" storeType="OMEX"/>
  </we:alternateReferences>
  <we:properties>
    <we:property name="claude.fileId" value="&quot;a66d5344-55e4-4b4c-967f-0799b17f214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1717</Words>
  <Characters>10926</Characters>
  <Application>Microsoft Office Word</Application>
  <DocSecurity>0</DocSecurity>
  <Lines>248</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Kaushik Vada</cp:lastModifiedBy>
  <cp:revision>3</cp:revision>
  <cp:lastPrinted>2026-05-22T07:17:00Z</cp:lastPrinted>
  <dcterms:created xsi:type="dcterms:W3CDTF">2026-05-22T07:17:00Z</dcterms:created>
  <dcterms:modified xsi:type="dcterms:W3CDTF">2026-05-23T00:06:00Z</dcterms:modified>
  <cp:category/>
</cp:coreProperties>
</file>